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5DF32">
      <w:pPr>
        <w:spacing w:line="240" w:lineRule="auto"/>
        <w:ind w:firstLine="0" w:firstLineChars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46C8496">
      <w:pPr>
        <w:pStyle w:val="15"/>
        <w:rPr>
          <w:rFonts w:hint="default" w:eastAsia="黑体"/>
          <w:lang w:val="en-US" w:eastAsia="zh-CN"/>
        </w:rPr>
      </w:pPr>
      <w:r>
        <w:rPr>
          <w:shd w:val="clear"/>
        </w:rPr>
        <w:t>供应商</w:t>
      </w:r>
      <w:r>
        <w:t>与采购人</w:t>
      </w:r>
      <w:r>
        <w:rPr>
          <w:rFonts w:hint="eastAsia"/>
          <w:lang w:val="en-US" w:eastAsia="zh-CN"/>
        </w:rPr>
        <w:t>对账结算管理办法</w:t>
      </w:r>
    </w:p>
    <w:p w14:paraId="19763E25">
      <w:pPr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2"/>
          <w:sz w:val="52"/>
          <w:szCs w:val="52"/>
          <w:lang w:val="en-US" w:eastAsia="zh-CN" w:bidi="ar-SA"/>
        </w:rPr>
      </w:pPr>
    </w:p>
    <w:p w14:paraId="500AA56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总则</w:t>
      </w:r>
    </w:p>
    <w:p w14:paraId="08A1BC89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规范目的</w:t>
      </w:r>
    </w:p>
    <w:p w14:paraId="1EBDDC3C">
      <w:pPr>
        <w:pStyle w:val="12"/>
        <w:widowControl/>
      </w:pPr>
      <w:r>
        <w:t>为明确</w:t>
      </w:r>
      <w:r>
        <w:rPr>
          <w:rFonts w:hint="eastAsia"/>
          <w:lang w:val="en-US" w:eastAsia="zh-CN"/>
        </w:rPr>
        <w:t>平台</w:t>
      </w:r>
      <w:r>
        <w:t>供应商与采购人的合作职责、操作标准及时间要求，保障订单履约、合同签署、对账结算等环节有序推进，维护双方合法权益，提升交易效率，特制定本规范。</w:t>
      </w:r>
    </w:p>
    <w:p w14:paraId="76507095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适用范围</w:t>
      </w:r>
    </w:p>
    <w:p w14:paraId="75387FEA">
      <w:pPr>
        <w:pStyle w:val="12"/>
        <w:widowControl/>
      </w:pPr>
      <w:r>
        <w:t>本规范适用于</w:t>
      </w:r>
      <w:r>
        <w:rPr>
          <w:rFonts w:hint="eastAsia" w:ascii="Times New Roman" w:eastAsia="宋体"/>
          <w:lang w:val="en-US" w:eastAsia="zh-CN"/>
        </w:rPr>
        <w:t>平台</w:t>
      </w:r>
      <w:r>
        <w:t>所有入驻供应商及平台采购人，涵盖订单履约全流程中的合同、对账、收货、发票、付款等相关操作。</w:t>
      </w:r>
    </w:p>
    <w:p w14:paraId="042B07E7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角色定义与核心职责</w:t>
      </w:r>
    </w:p>
    <w:p w14:paraId="53D2E461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采购人</w:t>
      </w:r>
    </w:p>
    <w:p w14:paraId="13A12F3A">
      <w:pPr>
        <w:pStyle w:val="12"/>
        <w:widowControl/>
      </w:pPr>
      <w:r>
        <w:t>核心职责：负责订单确认收货、合同签署、对账核对，配合完成付款相关前置流程。</w:t>
      </w:r>
    </w:p>
    <w:p w14:paraId="7C115B84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供应商</w:t>
      </w:r>
    </w:p>
    <w:p w14:paraId="2061EB33">
      <w:pPr>
        <w:pStyle w:val="12"/>
        <w:widowControl/>
      </w:pPr>
      <w:r>
        <w:t>核心职责：负责合同签署、对账发起 / 核对、发票准备，配合采购人完成收货确认相关协作。</w:t>
      </w:r>
    </w:p>
    <w:p w14:paraId="612256F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核心操作规范</w:t>
      </w:r>
    </w:p>
    <w:p w14:paraId="265D974B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订单收货确认规范</w:t>
      </w:r>
    </w:p>
    <w:p w14:paraId="773FFC6E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操作主体</w:t>
      </w:r>
    </w:p>
    <w:p w14:paraId="347F5EB8">
      <w:pPr>
        <w:pStyle w:val="12"/>
        <w:widowControl/>
      </w:pPr>
      <w:r>
        <w:t>采购人</w:t>
      </w:r>
    </w:p>
    <w:p w14:paraId="46F47537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时间要求</w:t>
      </w:r>
    </w:p>
    <w:p w14:paraId="64BC6E6A">
      <w:pPr>
        <w:pStyle w:val="12"/>
        <w:widowControl/>
      </w:pPr>
      <w:r>
        <w:t>每月 15 号前，完成</w:t>
      </w:r>
      <w:r>
        <w:rPr>
          <w:rFonts w:hint="eastAsia"/>
        </w:rPr>
        <w:t>上一自然月所有</w:t>
      </w:r>
      <w:r>
        <w:rPr>
          <w:rFonts w:hint="eastAsia"/>
          <w:lang w:val="en-US" w:eastAsia="zh-CN"/>
        </w:rPr>
        <w:t>采购人</w:t>
      </w:r>
      <w:r>
        <w:rPr>
          <w:rFonts w:hint="eastAsia"/>
        </w:rPr>
        <w:t>已签收 / 已收货的订单</w:t>
      </w:r>
      <w:r>
        <w:t>的收货确认操作。</w:t>
      </w:r>
    </w:p>
    <w:p w14:paraId="13172E02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操作方式</w:t>
      </w:r>
    </w:p>
    <w:p w14:paraId="59AC0229">
      <w:pPr>
        <w:pStyle w:val="12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手动确认：采购人登录电子商城对应专区，逐项核对订单情况后完成收货确认；</w:t>
      </w:r>
    </w:p>
    <w:p w14:paraId="4BA63165">
      <w:pPr>
        <w:pStyle w:val="12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自动确认：若该专区已上线 “订单自动收货功能”，系统将按预设规则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发货后15个自然日）</w:t>
      </w:r>
      <w:r>
        <w:t>自动完成收货确认。</w:t>
      </w:r>
    </w:p>
    <w:p w14:paraId="7D080097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合同签署与对账规范</w:t>
      </w:r>
    </w:p>
    <w:p w14:paraId="04F007C6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操作主体</w:t>
      </w:r>
    </w:p>
    <w:p w14:paraId="0B277BBA">
      <w:pPr>
        <w:pStyle w:val="12"/>
        <w:widowControl/>
      </w:pPr>
      <w:r>
        <w:t>采购人、供应商（双方协同）</w:t>
      </w:r>
    </w:p>
    <w:p w14:paraId="3742E547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时间要求</w:t>
      </w:r>
    </w:p>
    <w:p w14:paraId="3909DAF6">
      <w:pPr>
        <w:pStyle w:val="12"/>
        <w:widowControl/>
      </w:pPr>
      <w:r>
        <w:t>每月 15 号前，完成上一自然月所有有效订单的合同签署及对账工作。</w:t>
      </w:r>
    </w:p>
    <w:p w14:paraId="45A96490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操作要求</w:t>
      </w:r>
    </w:p>
    <w:p w14:paraId="1A491E39">
      <w:pPr>
        <w:pStyle w:val="12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合同签署：双方登录电子商城合同管理模块，核对订单信息（商品、数量、金额、履约情况等）后，在线完成电子合同签署；</w:t>
      </w:r>
    </w:p>
    <w:p w14:paraId="5EE7C725">
      <w:pPr>
        <w:pStyle w:val="12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</w:rPr>
      </w:pPr>
      <w:r>
        <w:t>对账核对：</w:t>
      </w:r>
      <w:r>
        <w:rPr>
          <w:rFonts w:hint="eastAsia"/>
        </w:rPr>
        <w:t>需先完成电子合同签署，再以已签署合同为依据，双方核对订单数据，对账一致后完成书面确认；若存在异议，需在每月 15 号前完成沟通协商</w:t>
      </w:r>
      <w:r>
        <w:t>。</w:t>
      </w:r>
    </w:p>
    <w:p w14:paraId="3377343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发票准备规范</w:t>
      </w:r>
    </w:p>
    <w:p w14:paraId="5E614057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操作主体</w:t>
      </w:r>
    </w:p>
    <w:p w14:paraId="3DC98A39">
      <w:pPr>
        <w:pStyle w:val="12"/>
        <w:widowControl/>
      </w:pPr>
      <w:r>
        <w:t>供应商</w:t>
      </w:r>
    </w:p>
    <w:p w14:paraId="3FFC78C9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时间要求</w:t>
      </w:r>
    </w:p>
    <w:p w14:paraId="428B4516">
      <w:pPr>
        <w:pStyle w:val="12"/>
        <w:widowControl/>
      </w:pPr>
      <w:r>
        <w:rPr>
          <w:rFonts w:hint="eastAsia"/>
        </w:rPr>
        <w:t>以上一自然月订单为核算基数，双方完成订单数据核对及对账工作后，供应商需及时完成对应发票的全部准备事宜。</w:t>
      </w:r>
    </w:p>
    <w:p w14:paraId="67F9E00D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r>
        <w:t>操作要求</w:t>
      </w:r>
    </w:p>
    <w:p w14:paraId="5E66CE90">
      <w:pPr>
        <w:pStyle w:val="12"/>
        <w:widowControl/>
      </w:pPr>
      <w:r>
        <w:t>供应商需按对账确认的金额、商品类目等信息，开具</w:t>
      </w:r>
      <w:r>
        <w:rPr>
          <w:rFonts w:hint="eastAsia"/>
        </w:rPr>
        <w:t>增值税专用发票或普通发票</w:t>
      </w:r>
      <w:r>
        <w:t>，确保发票信息与合同、订单一致，无虚开、错开情况。</w:t>
      </w:r>
    </w:p>
    <w:p w14:paraId="47075BCB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付款操作规范</w:t>
      </w:r>
    </w:p>
    <w:p w14:paraId="08322988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操作主体</w:t>
      </w:r>
    </w:p>
    <w:p w14:paraId="0A899880">
      <w:pPr>
        <w:pStyle w:val="12"/>
        <w:widowControl/>
      </w:pPr>
      <w:r>
        <w:t>采购人</w:t>
      </w:r>
    </w:p>
    <w:p w14:paraId="4A8DBE93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时间要求</w:t>
      </w:r>
    </w:p>
    <w:p w14:paraId="04C430C5">
      <w:pPr>
        <w:pStyle w:val="12"/>
        <w:widowControl/>
      </w:pPr>
      <w:r>
        <w:t>在订单对账一致、发票核验通过后，于</w:t>
      </w:r>
      <w:r>
        <w:rPr>
          <w:rFonts w:hint="eastAsia"/>
          <w:lang w:val="en-US" w:eastAsia="zh-CN"/>
        </w:rPr>
        <w:t>对账后</w:t>
      </w:r>
      <w:r>
        <w:t>下一自然月 15 号前完成付款操作</w:t>
      </w:r>
      <w:r>
        <w:rPr>
          <w:rFonts w:hint="eastAsia"/>
          <w:lang w:eastAsia="zh-CN"/>
        </w:rPr>
        <w:t>（如遇节假日，顺延至下一个工作日）</w:t>
      </w:r>
      <w:r>
        <w:t>。</w:t>
      </w:r>
    </w:p>
    <w:p w14:paraId="09FC934D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操作要求</w:t>
      </w:r>
    </w:p>
    <w:p w14:paraId="4B393C0C">
      <w:pPr>
        <w:pStyle w:val="12"/>
        <w:widowControl/>
      </w:pPr>
      <w:r>
        <w:t>采购人需依据对账结果及合规发票完成支付。</w:t>
      </w:r>
    </w:p>
    <w:p w14:paraId="56F70182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附则</w:t>
      </w:r>
    </w:p>
    <w:p w14:paraId="29E779E2">
      <w:pPr>
        <w:pStyle w:val="12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本规范自发布之日起施行，</w:t>
      </w:r>
      <w:r>
        <w:rPr>
          <w:rFonts w:hint="eastAsia" w:ascii="Times New Roman" w:eastAsia="宋体"/>
          <w:lang w:val="en-US" w:eastAsia="zh-CN"/>
        </w:rPr>
        <w:t>平台</w:t>
      </w:r>
      <w:r>
        <w:t>运营方有权根据业务调整情况进行修订，修订后将另行通知。</w:t>
      </w:r>
    </w:p>
    <w:p w14:paraId="2C47EA48">
      <w:pPr>
        <w:pStyle w:val="12"/>
        <w:numPr>
          <w:ilvl w:val="0"/>
          <w:numId w:val="11"/>
        </w:numPr>
        <w:ind w:left="0" w:leftChars="0" w:firstLine="480" w:firstLineChars="0"/>
      </w:pPr>
      <w:r>
        <w:t>双方在对接过程中获取的对方业务、财务等信息，仅限用于本规范约定的合作目的，不得泄露或用于其他用途。</w:t>
      </w:r>
    </w:p>
    <w:p w14:paraId="0E8E6284">
      <w:pPr>
        <w:pStyle w:val="12"/>
        <w:numPr>
          <w:ilvl w:val="0"/>
          <w:numId w:val="11"/>
        </w:numPr>
        <w:ind w:left="0" w:leftChars="0" w:firstLine="480" w:firstLineChars="0"/>
      </w:pPr>
      <w:r>
        <w:t>本规范最终解释权归</w:t>
      </w:r>
      <w:r>
        <w:rPr>
          <w:rFonts w:hint="eastAsia" w:ascii="Times New Roman" w:eastAsia="宋体"/>
          <w:lang w:val="en-US" w:eastAsia="zh-CN"/>
        </w:rPr>
        <w:t>平台</w:t>
      </w:r>
      <w:r>
        <w:t>运营方所有。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8B99"/>
    <w:multiLevelType w:val="singleLevel"/>
    <w:tmpl w:val="B5398B99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B73FDE39"/>
    <w:multiLevelType w:val="singleLevel"/>
    <w:tmpl w:val="B73FDE3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">
    <w:nsid w:val="BD44EE16"/>
    <w:multiLevelType w:val="singleLevel"/>
    <w:tmpl w:val="BD44EE16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3">
    <w:nsid w:val="CD918EF5"/>
    <w:multiLevelType w:val="singleLevel"/>
    <w:tmpl w:val="CD918EF5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4">
    <w:nsid w:val="E00CD28F"/>
    <w:multiLevelType w:val="singleLevel"/>
    <w:tmpl w:val="E00CD28F"/>
    <w:lvl w:ilvl="0" w:tentative="0">
      <w:start w:val="1"/>
      <w:numFmt w:val="decimal"/>
      <w:suff w:val="space"/>
      <w:lvlText w:val="5.%1"/>
      <w:lvlJc w:val="left"/>
      <w:pPr>
        <w:ind w:left="0" w:firstLine="480"/>
      </w:pPr>
      <w:rPr>
        <w:rFonts w:hint="default"/>
      </w:rPr>
    </w:lvl>
  </w:abstractNum>
  <w:abstractNum w:abstractNumId="5">
    <w:nsid w:val="F7807C34"/>
    <w:multiLevelType w:val="singleLevel"/>
    <w:tmpl w:val="F7807C3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1C247948"/>
    <w:multiLevelType w:val="singleLevel"/>
    <w:tmpl w:val="1C24794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40AA76E0"/>
    <w:multiLevelType w:val="singleLevel"/>
    <w:tmpl w:val="40AA76E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48E8815B"/>
    <w:multiLevelType w:val="singleLevel"/>
    <w:tmpl w:val="48E8815B"/>
    <w:lvl w:ilvl="0" w:tentative="0">
      <w:start w:val="1"/>
      <w:numFmt w:val="decimal"/>
      <w:suff w:val="space"/>
      <w:lvlText w:val="3.4.%1"/>
      <w:lvlJc w:val="left"/>
      <w:pPr>
        <w:ind w:left="0" w:firstLine="0"/>
      </w:pPr>
      <w:rPr>
        <w:rFonts w:hint="default"/>
      </w:rPr>
    </w:lvl>
  </w:abstractNum>
  <w:abstractNum w:abstractNumId="9">
    <w:nsid w:val="6871FE22"/>
    <w:multiLevelType w:val="singleLevel"/>
    <w:tmpl w:val="6871FE22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10">
    <w:nsid w:val="705F5EB8"/>
    <w:multiLevelType w:val="singleLevel"/>
    <w:tmpl w:val="705F5EB8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2"/>
  </w:num>
  <w:num w:numId="8">
    <w:abstractNumId w:val="6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5C440DA"/>
    <w:rsid w:val="273E1CED"/>
    <w:rsid w:val="27967FDD"/>
    <w:rsid w:val="46FB18B4"/>
    <w:rsid w:val="4B5E753C"/>
    <w:rsid w:val="4DC83A75"/>
    <w:rsid w:val="4E452288"/>
    <w:rsid w:val="525E1FE6"/>
    <w:rsid w:val="53862F44"/>
    <w:rsid w:val="58373653"/>
    <w:rsid w:val="6B410A49"/>
    <w:rsid w:val="6B6E231B"/>
    <w:rsid w:val="6E9B0D03"/>
    <w:rsid w:val="7AED1888"/>
    <w:rsid w:val="7C0E6C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949</Words>
  <Characters>954</Characters>
  <TotalTime>0</TotalTime>
  <ScaleCrop>false</ScaleCrop>
  <LinksUpToDate>false</LinksUpToDate>
  <CharactersWithSpaces>967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2026-02-02T07:40:00Z</dcterms:created>
  <dc:creator>Un-named</dc:creator>
  <cp:lastModifiedBy>陈海勇</cp:lastModifiedBy>
  <dcterms:modified xsi:type="dcterms:W3CDTF">2026-03-23T01:33:03Z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71709D7861304A559911A3E635DC5DDD_12</vt:lpwstr>
  </property>
</Properties>
</file>