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零收益专区成本分析报告</w:t>
      </w:r>
    </w:p>
    <w:p>
      <w:pPr>
        <w:spacing w:after="400"/>
        <w:jc w:val="center"/>
      </w:pPr>
      <w:r>
        <w:t xml:space="preserve">中原华北区 | 报告日期：2026年4月10日</w:t>
      </w:r>
    </w:p>
    <w:p>
      <w:pPr>
        <w:pStyle w:val="Heading1"/>
        <w:spacing w:after="200" w:before="300"/>
      </w:pPr>
      <w:r>
        <w:t xml:space="preserve">一、整体概况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指标</w:t>
            </w:r>
          </w:p>
        </w:tc>
        <w:tc>
          <w:p>
            <w:r>
              <w:t xml:space="preserve">数值</w:t>
            </w:r>
          </w:p>
        </w:tc>
      </w:tr>
      <w:tr>
        <w:tc>
          <w:p>
            <w:r>
              <w:t xml:space="preserve">零收益专区数量</w:t>
            </w:r>
          </w:p>
        </w:tc>
        <w:tc>
          <w:p>
            <w:r>
              <w:t xml:space="preserve">40个</w:t>
            </w:r>
          </w:p>
        </w:tc>
      </w:tr>
      <w:tr>
        <w:tc>
          <w:p>
            <w:r>
              <w:t xml:space="preserve">占总专区比例</w:t>
            </w:r>
          </w:p>
        </w:tc>
        <w:tc>
          <w:p>
            <w:r>
              <w:t xml:space="preserve">35.1%</w:t>
            </w:r>
          </w:p>
        </w:tc>
      </w:tr>
      <w:tr>
        <w:tc>
          <w:p>
            <w:r>
              <w:t xml:space="preserve">零收益专区总成本</w:t>
            </w:r>
          </w:p>
        </w:tc>
        <w:tc>
          <w:p>
            <w:r>
              <w:t xml:space="preserve">510,622.39元</w:t>
            </w:r>
          </w:p>
        </w:tc>
      </w:tr>
      <w:tr>
        <w:tc>
          <w:p>
            <w:r>
              <w:t xml:space="preserve">平均成本</w:t>
            </w:r>
          </w:p>
        </w:tc>
        <w:tc>
          <w:p>
            <w:r>
              <w:t xml:space="preserve">12,765.56元</w:t>
            </w:r>
          </w:p>
        </w:tc>
      </w:tr>
      <w:tr>
        <w:tc>
          <w:p>
            <w:r>
              <w:t xml:space="preserve">成本中位数</w:t>
            </w:r>
          </w:p>
        </w:tc>
        <w:tc>
          <w:p>
            <w:r>
              <w:t xml:space="preserve">10,060.85元</w:t>
            </w:r>
          </w:p>
        </w:tc>
      </w:tr>
    </w:tbl>
    <w:p>
      <w:pPr>
        <w:pStyle w:val="Heading1"/>
        <w:spacing w:after="200" w:before="400"/>
      </w:pPr>
      <w:r>
        <w:t xml:space="preserve">二、成本额度对比（基线30,000元）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指标</w:t>
            </w:r>
          </w:p>
        </w:tc>
        <w:tc>
          <w:p>
            <w:r>
              <w:t xml:space="preserve">金额</w:t>
            </w:r>
          </w:p>
        </w:tc>
      </w:tr>
      <w:tr>
        <w:tc>
          <w:p>
            <w:r>
              <w:t xml:space="preserve">成本额度总计</w:t>
            </w:r>
          </w:p>
        </w:tc>
        <w:tc>
          <w:p>
            <w:r>
              <w:t xml:space="preserve">1,200,000元</w:t>
            </w:r>
          </w:p>
        </w:tc>
      </w:tr>
      <w:tr>
        <w:tc>
          <w:p>
            <w:r>
              <w:t xml:space="preserve">实际成本总计</w:t>
            </w:r>
          </w:p>
        </w:tc>
        <w:tc>
          <w:p>
            <w:r>
              <w:t xml:space="preserve">510,622.39元</w:t>
            </w:r>
          </w:p>
        </w:tc>
      </w:tr>
      <w:tr>
        <w:tc>
          <w:p>
            <w:r>
              <w:t xml:space="preserve">成本结余</w:t>
            </w:r>
          </w:p>
        </w:tc>
        <w:tc>
          <w:p>
            <w:r>
              <w:t xml:space="preserve">689,377.61元</w:t>
            </w:r>
          </w:p>
        </w:tc>
      </w:tr>
      <w:tr>
        <w:tc>
          <w:p>
            <w:r>
              <w:t xml:space="preserve">整体成本使用率</w:t>
            </w:r>
          </w:p>
        </w:tc>
        <w:tc>
          <w:p>
            <w:r>
              <w:t xml:space="preserve">42.6%</w:t>
            </w:r>
          </w:p>
        </w:tc>
      </w:tr>
    </w:tbl>
    <w:p>
      <w:pPr>
        <w:pStyle w:val="Heading1"/>
        <w:spacing w:after="200" w:before="400"/>
      </w:pPr>
      <w:r>
        <w:t xml:space="preserve">三、成本使用率分布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区间</w:t>
            </w:r>
          </w:p>
        </w:tc>
        <w:tc>
          <w:p>
            <w:r>
              <w:t xml:space="preserve">数量</w:t>
            </w:r>
          </w:p>
        </w:tc>
        <w:tc>
          <w:p>
            <w:r>
              <w:t xml:space="preserve">占比</w:t>
            </w:r>
          </w:p>
        </w:tc>
      </w:tr>
      <w:tr>
        <w:tc>
          <w:p>
            <w:r>
              <w:t xml:space="preserve">零成本</w:t>
            </w:r>
          </w:p>
        </w:tc>
        <w:tc>
          <w:p>
            <w:r>
              <w:t xml:space="preserve">4个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低成本（0-25%）</w:t>
            </w:r>
          </w:p>
        </w:tc>
        <w:tc>
          <w:p>
            <w:r>
              <w:t xml:space="preserve">11个</w:t>
            </w:r>
          </w:p>
        </w:tc>
        <w:tc>
          <w:p>
            <w:r>
              <w:t xml:space="preserve">27.5%</w:t>
            </w:r>
          </w:p>
        </w:tc>
      </w:tr>
      <w:tr>
        <w:tc>
          <w:p>
            <w:r>
              <w:t xml:space="preserve">中低成本（25-50%）</w:t>
            </w:r>
          </w:p>
        </w:tc>
        <w:tc>
          <w:p>
            <w:r>
              <w:t xml:space="preserve">9个</w:t>
            </w:r>
          </w:p>
        </w:tc>
        <w:tc>
          <w:p>
            <w:r>
              <w:t xml:space="preserve">22.5%</w:t>
            </w:r>
          </w:p>
        </w:tc>
      </w:tr>
      <w:tr>
        <w:tc>
          <w:p>
            <w:r>
              <w:t xml:space="preserve">中成本（50-75%）</w:t>
            </w:r>
          </w:p>
        </w:tc>
        <w:tc>
          <w:p>
            <w:r>
              <w:t xml:space="preserve">11个</w:t>
            </w:r>
          </w:p>
        </w:tc>
        <w:tc>
          <w:p>
            <w:r>
              <w:t xml:space="preserve">27.5%</w:t>
            </w:r>
          </w:p>
        </w:tc>
      </w:tr>
      <w:tr>
        <w:tc>
          <w:p>
            <w:r>
              <w:t xml:space="preserve">接近上限（75-100%）</w:t>
            </w:r>
          </w:p>
        </w:tc>
        <w:tc>
          <w:p>
            <w:r>
              <w:t xml:space="preserve">1个</w:t>
            </w:r>
          </w:p>
        </w:tc>
        <w:tc>
          <w:p>
            <w:r>
              <w:t xml:space="preserve">2.5%</w:t>
            </w:r>
          </w:p>
        </w:tc>
      </w:tr>
      <w:tr>
        <w:tc>
          <w:p>
            <w:r>
              <w:t xml:space="preserve">超支（&gt;100%）</w:t>
            </w:r>
          </w:p>
        </w:tc>
        <w:tc>
          <w:p>
            <w:r>
              <w:t xml:space="preserve">4个</w:t>
            </w:r>
          </w:p>
        </w:tc>
        <w:tc>
          <w:p>
            <w:r>
              <w:t xml:space="preserve">10%</w:t>
            </w:r>
          </w:p>
        </w:tc>
      </w:tr>
    </w:tbl>
    <w:p>
      <w:pPr>
        <w:pStyle w:val="Heading1"/>
        <w:spacing w:after="200" w:before="400"/>
      </w:pPr>
      <w:r>
        <w:t xml:space="preserve">四、超支专区清单（需重点关注）</w:t>
      </w:r>
    </w:p>
    <w:p>
      <w:pPr>
        <w:spacing w:after="200"/>
      </w:pPr>
      <w:r>
        <w:t xml:space="preserve">共4个专区成本超支，超支总额39,727.14元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专区名称</w:t>
            </w:r>
          </w:p>
        </w:tc>
        <w:tc>
          <w:p>
            <w:r>
              <w:t xml:space="preserve">实际成本</w:t>
            </w:r>
          </w:p>
        </w:tc>
        <w:tc>
          <w:p>
            <w:r>
              <w:t xml:space="preserve">超支金额</w:t>
            </w:r>
          </w:p>
        </w:tc>
        <w:tc>
          <w:p>
            <w:r>
              <w:t xml:space="preserve">使用率</w:t>
            </w:r>
          </w:p>
        </w:tc>
      </w:tr>
      <w:tr>
        <w:tc>
          <w:p>
            <w:r>
              <w:t xml:space="preserve">焦作市全要素阳光交易平台</w:t>
            </w:r>
          </w:p>
        </w:tc>
        <w:tc>
          <w:p>
            <w:r>
              <w:t xml:space="preserve">52,197.73元</w:t>
            </w:r>
          </w:p>
        </w:tc>
        <w:tc>
          <w:p>
            <w:r>
              <w:t xml:space="preserve">+22,197.73元</w:t>
            </w:r>
          </w:p>
        </w:tc>
        <w:tc>
          <w:p>
            <w:r>
              <w:t xml:space="preserve">174.0%</w:t>
            </w:r>
          </w:p>
        </w:tc>
      </w:tr>
      <w:tr>
        <w:tc>
          <w:p>
            <w:r>
              <w:t xml:space="preserve">本溪阳光数字化招标采购平台</w:t>
            </w:r>
          </w:p>
        </w:tc>
        <w:tc>
          <w:p>
            <w:r>
              <w:t xml:space="preserve">44,794.02元</w:t>
            </w:r>
          </w:p>
        </w:tc>
        <w:tc>
          <w:p>
            <w:r>
              <w:t xml:space="preserve">+14,794.02元</w:t>
            </w:r>
          </w:p>
        </w:tc>
        <w:tc>
          <w:p>
            <w:r>
              <w:t xml:space="preserve">149.3%</w:t>
            </w:r>
          </w:p>
        </w:tc>
      </w:tr>
      <w:tr>
        <w:tc>
          <w:p>
            <w:r>
              <w:t xml:space="preserve">内蒙古招采专区</w:t>
            </w:r>
          </w:p>
        </w:tc>
        <w:tc>
          <w:p>
            <w:r>
              <w:t xml:space="preserve">32,449.52元</w:t>
            </w:r>
          </w:p>
        </w:tc>
        <w:tc>
          <w:p>
            <w:r>
              <w:t xml:space="preserve">+2,449.52元</w:t>
            </w:r>
          </w:p>
        </w:tc>
        <w:tc>
          <w:p>
            <w:r>
              <w:t xml:space="preserve">108.2%</w:t>
            </w:r>
          </w:p>
        </w:tc>
      </w:tr>
      <w:tr>
        <w:tc>
          <w:p>
            <w:r>
              <w:t xml:space="preserve">庭州嘉泽工程招投标平台</w:t>
            </w:r>
          </w:p>
        </w:tc>
        <w:tc>
          <w:p>
            <w:r>
              <w:t xml:space="preserve">30,285.87元</w:t>
            </w:r>
          </w:p>
        </w:tc>
        <w:tc>
          <w:p>
            <w:r>
              <w:t xml:space="preserve">+285.87元</w:t>
            </w:r>
          </w:p>
        </w:tc>
        <w:tc>
          <w:p>
            <w:r>
              <w:t xml:space="preserve">101.0%</w:t>
            </w:r>
          </w:p>
        </w:tc>
      </w:tr>
    </w:tbl>
    <w:p>
      <w:pPr>
        <w:pStyle w:val="Heading1"/>
        <w:spacing w:after="200" w:before="400"/>
      </w:pPr>
      <w:r>
        <w:t xml:space="preserve">五、按接入时间分析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接入时长</w:t>
            </w:r>
          </w:p>
        </w:tc>
        <w:tc>
          <w:p>
            <w:r>
              <w:t xml:space="preserve">数量</w:t>
            </w:r>
          </w:p>
        </w:tc>
        <w:tc>
          <w:p>
            <w:r>
              <w:t xml:space="preserve">平均成本</w:t>
            </w:r>
          </w:p>
        </w:tc>
        <w:tc>
          <w:p>
            <w:r>
              <w:t xml:space="preserve">总成本</w:t>
            </w:r>
          </w:p>
        </w:tc>
      </w:tr>
      <w:tr>
        <w:tc>
          <w:p>
            <w:r>
              <w:t xml:space="preserve">新接入（3个月内）</w:t>
            </w:r>
          </w:p>
        </w:tc>
        <w:tc>
          <w:p>
            <w:r>
              <w:t xml:space="preserve">7个</w:t>
            </w:r>
          </w:p>
        </w:tc>
        <w:tc>
          <w:p>
            <w:r>
              <w:t xml:space="preserve">10,914.24元</w:t>
            </w:r>
          </w:p>
        </w:tc>
        <w:tc>
          <w:p>
            <w:r>
              <w:t xml:space="preserve">76,399.65元</w:t>
            </w:r>
          </w:p>
        </w:tc>
      </w:tr>
      <w:tr>
        <w:tc>
          <w:p>
            <w:r>
              <w:t xml:space="preserve">中期（3个月-1年）</w:t>
            </w:r>
          </w:p>
        </w:tc>
        <w:tc>
          <w:p>
            <w:r>
              <w:t xml:space="preserve">20个</w:t>
            </w:r>
          </w:p>
        </w:tc>
        <w:tc>
          <w:p>
            <w:r>
              <w:t xml:space="preserve">15,314.34元</w:t>
            </w:r>
          </w:p>
        </w:tc>
        <w:tc>
          <w:p>
            <w:r>
              <w:t xml:space="preserve">306,286.89元</w:t>
            </w:r>
          </w:p>
        </w:tc>
      </w:tr>
      <w:tr>
        <w:tc>
          <w:p>
            <w:r>
              <w:t xml:space="preserve">长期（1年以上）</w:t>
            </w:r>
          </w:p>
        </w:tc>
        <w:tc>
          <w:p>
            <w:r>
              <w:t xml:space="preserve">13个</w:t>
            </w:r>
          </w:p>
        </w:tc>
        <w:tc>
          <w:p>
            <w:r>
              <w:t xml:space="preserve">9,841.22元</w:t>
            </w:r>
          </w:p>
        </w:tc>
        <w:tc>
          <w:p>
            <w:r>
              <w:t xml:space="preserve">127,935.85元</w:t>
            </w:r>
          </w:p>
        </w:tc>
      </w:tr>
    </w:tbl>
    <w:p>
      <w:pPr>
        <w:pStyle w:val="Heading1"/>
        <w:spacing w:after="200" w:before="400"/>
      </w:pPr>
      <w:r>
        <w:t xml:space="preserve">六、重点关注：长期零收益且高成本专区</w:t>
      </w:r>
    </w:p>
    <w:p>
      <w:pPr>
        <w:spacing w:after="200"/>
      </w:pPr>
      <w:r>
        <w:t xml:space="preserve">共3个专区接入超过1年、成本超过2万、收益为0，需重点评估是否继续投入：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专区名称</w:t>
            </w:r>
          </w:p>
        </w:tc>
        <w:tc>
          <w:p>
            <w:r>
              <w:t xml:space="preserve">实际成本</w:t>
            </w:r>
          </w:p>
        </w:tc>
        <w:tc>
          <w:p>
            <w:r>
              <w:t xml:space="preserve">接入天数</w:t>
            </w:r>
          </w:p>
        </w:tc>
        <w:tc>
          <w:p>
            <w:r>
              <w:t xml:space="preserve">使用率</w:t>
            </w:r>
          </w:p>
        </w:tc>
      </w:tr>
      <w:tr>
        <w:tc>
          <w:p>
            <w:r>
              <w:t xml:space="preserve">本溪阳光数字化招标采购平台</w:t>
            </w:r>
          </w:p>
        </w:tc>
        <w:tc>
          <w:p>
            <w:r>
              <w:t xml:space="preserve">44,794.02元</w:t>
            </w:r>
          </w:p>
        </w:tc>
        <w:tc>
          <w:p>
            <w:r>
              <w:t xml:space="preserve">549天</w:t>
            </w:r>
          </w:p>
        </w:tc>
        <w:tc>
          <w:p>
            <w:r>
              <w:t xml:space="preserve">149.3%</w:t>
            </w:r>
          </w:p>
        </w:tc>
      </w:tr>
      <w:tr>
        <w:tc>
          <w:p>
            <w:r>
              <w:t xml:space="preserve">湖北省小额工程电子招标采购交易平台</w:t>
            </w:r>
          </w:p>
        </w:tc>
        <w:tc>
          <w:p>
            <w:r>
              <w:t xml:space="preserve">20,790.52元</w:t>
            </w:r>
          </w:p>
        </w:tc>
        <w:tc>
          <w:p>
            <w:r>
              <w:t xml:space="preserve">800天</w:t>
            </w:r>
          </w:p>
        </w:tc>
        <w:tc>
          <w:p>
            <w:r>
              <w:t xml:space="preserve">69.3%</w:t>
            </w:r>
          </w:p>
        </w:tc>
      </w:tr>
      <w:tr>
        <w:tc>
          <w:p>
            <w:r>
              <w:t xml:space="preserve">鑫安胜通专区</w:t>
            </w:r>
          </w:p>
        </w:tc>
        <w:tc>
          <w:p>
            <w:r>
              <w:t xml:space="preserve">20,150.09元</w:t>
            </w:r>
          </w:p>
        </w:tc>
        <w:tc>
          <w:p>
            <w:r>
              <w:t xml:space="preserve">759天</w:t>
            </w:r>
          </w:p>
        </w:tc>
        <w:tc>
          <w:p>
            <w:r>
              <w:t xml:space="preserve">67.2%</w:t>
            </w:r>
          </w:p>
        </w:tc>
      </w:tr>
    </w:tbl>
    <w:p>
      <w:pPr>
        <w:pStyle w:val="Heading1"/>
        <w:spacing w:after="200" w:before="400"/>
      </w:pPr>
      <w:r>
        <w:t xml:space="preserve">七、结论与建议</w:t>
      </w:r>
    </w:p>
    <w:p>
      <w:pPr>
        <w:pStyle w:val="Heading2"/>
        <w:spacing w:after="100" w:before="200"/>
      </w:pPr>
      <w:r>
        <w:t xml:space="preserve">1. 整体情况</w:t>
      </w:r>
    </w:p>
    <w:p>
      <w:pPr>
        <w:spacing w:after="100"/>
      </w:pPr>
      <w:r>
        <w:t xml:space="preserve">• 40个零收益专区中，36个（90%）成本控制在30,000元基线内</w:t>
      </w:r>
    </w:p>
    <w:p>
      <w:pPr>
        <w:spacing w:after="100"/>
      </w:pPr>
      <w:r>
        <w:t xml:space="preserve">• 整体成本使用率42.6%，控制良好，成本结余689,377.61元</w:t>
      </w:r>
    </w:p>
    <w:p>
      <w:pPr>
        <w:spacing w:after="200"/>
      </w:pPr>
      <w:r>
        <w:t xml:space="preserve">• 平均成本12,765元，远低于30,000元基线</w:t>
      </w:r>
    </w:p>
    <w:p>
      <w:pPr>
        <w:pStyle w:val="Heading2"/>
        <w:spacing w:after="100" w:before="200"/>
      </w:pPr>
      <w:r>
        <w:t xml:space="preserve">2. 需重点关注</w:t>
      </w:r>
    </w:p>
    <w:p>
      <w:pPr>
        <w:spacing w:after="100"/>
      </w:pPr>
      <w:r>
        <w:t xml:space="preserve">• 4个超支专区：焦作全要素、本溪阳光、内蒙古招采、庭州嘉泽</w:t>
      </w:r>
    </w:p>
    <w:p>
      <w:pPr>
        <w:spacing w:after="200"/>
      </w:pPr>
      <w:r>
        <w:t xml:space="preserve">• 3个长期零收益高成本专区：本溪阳光、湖北省小额工程、鑫安胜通</w:t>
      </w:r>
    </w:p>
    <w:p>
      <w:pPr>
        <w:pStyle w:val="Heading2"/>
        <w:spacing w:after="100" w:before="200"/>
      </w:pPr>
      <w:r>
        <w:t xml:space="preserve">3. 建议措施</w:t>
      </w:r>
    </w:p>
    <w:p>
      <w:pPr>
        <w:spacing w:after="100"/>
      </w:pPr>
      <w:r>
        <w:t xml:space="preserve">（1）对4个超支专区：制定成本压降计划，控制在30,000元基线内</w:t>
      </w:r>
    </w:p>
    <w:p>
      <w:pPr>
        <w:spacing w:after="100"/>
      </w:pPr>
      <w:r>
        <w:t xml:space="preserve">（2）对3个长期零收益专区：进行ROI评估，考虑下线或转型</w:t>
      </w:r>
    </w:p>
    <w:p>
      <w:pPr>
        <w:spacing w:after="100"/>
      </w:pPr>
      <w:r>
        <w:t xml:space="preserve">（3）对中期专区（20个）：加强运营支持，争取在1年内实现收益</w:t>
      </w:r>
    </w:p>
    <w:p>
      <w:pPr>
        <w:spacing w:after="200"/>
      </w:pPr>
      <w:r>
        <w:t xml:space="preserve">（4）对新接入专区（7个）：正常投入，观察3个月后的收益情况</w:t>
      </w:r>
    </w:p>
    <w:p>
      <w:pPr>
        <w:pStyle w:val="Heading1"/>
        <w:spacing w:after="200" w:before="400"/>
      </w:pPr>
      <w:r>
        <w:t xml:space="preserve">八、附件：零收益专区成本明细（按使用率排序）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2026-04-10T03:30:35.098Z</dcterms:created>
  <dcterms:modified xsi:type="dcterms:W3CDTF">2026-04-10T03:30:35.103Z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