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2154D">
      <w:pPr>
        <w:pStyle w:val="31"/>
        <w:jc w:val="center"/>
      </w:pPr>
      <w:r>
        <w:t>e交易专区收益成本统计报告</w:t>
      </w:r>
    </w:p>
    <w:p w14:paraId="0BCC7F9D">
      <w:pPr>
        <w:jc w:val="center"/>
      </w:pPr>
      <w:r>
        <w:rPr>
          <w:color w:val="808080"/>
          <w:sz w:val="28"/>
        </w:rPr>
        <w:t>中原区、华北区运营分析报告</w:t>
      </w:r>
    </w:p>
    <w:p w14:paraId="7FBBAAB5">
      <w:pPr>
        <w:jc w:val="center"/>
      </w:pPr>
      <w:r>
        <w:t>报告日期：2026年3月30日</w:t>
      </w:r>
      <w:r>
        <w:br w:type="textWrapping"/>
      </w:r>
      <w:r>
        <w:t>数据范围：中原区、华北区</w:t>
      </w:r>
      <w:r>
        <w:br w:type="textWrapping"/>
      </w:r>
      <w:r>
        <w:t>统计周期：2026年1月-3月</w:t>
      </w:r>
      <w:r>
        <w:br w:type="textWrapping"/>
      </w:r>
      <w:r>
        <w:t>成本基线：32,000元 | 成本率基线：58%</w:t>
      </w:r>
    </w:p>
    <w:p w14:paraId="541FA465">
      <w:r>
        <w:br w:type="page"/>
      </w:r>
      <w:bookmarkStart w:id="0" w:name="_GoBack"/>
      <w:bookmarkEnd w:id="0"/>
    </w:p>
    <w:p w14:paraId="24DE26F2">
      <w:pPr>
        <w:pStyle w:val="3"/>
      </w:pPr>
      <w:r>
        <w:t>一、执行摘要</w:t>
      </w:r>
    </w:p>
    <w:p w14:paraId="49D8173F">
      <w:r>
        <w:rPr>
          <w:b/>
        </w:rPr>
        <w:t>【核心结论】</w:t>
      </w:r>
      <w:r>
        <w:rPr>
          <w:b/>
        </w:rPr>
        <w:br w:type="textWrapping"/>
      </w:r>
      <w:r>
        <w:t>截至2026年3月30日，新点e交易（中原、华北区）共运营155个专区，累计收益66,237.4元。</w:t>
      </w:r>
    </w:p>
    <w:p w14:paraId="38EF4773">
      <w:r>
        <w:br w:type="textWrapping"/>
      </w:r>
      <w:r>
        <w:t>【关键指标】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5F0C2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FE7E9D">
            <w:pPr>
              <w:spacing w:after="0" w:line="240" w:lineRule="auto"/>
            </w:pPr>
            <w:r>
              <w:rPr>
                <w:b/>
              </w:rPr>
              <w:t>指标名称</w:t>
            </w:r>
          </w:p>
        </w:tc>
        <w:tc>
          <w:tcPr>
            <w:tcW w:w="2880" w:type="dxa"/>
          </w:tcPr>
          <w:p w14:paraId="089A575F">
            <w:pPr>
              <w:spacing w:after="0" w:line="240" w:lineRule="auto"/>
            </w:pPr>
            <w:r>
              <w:rPr>
                <w:b/>
              </w:rPr>
              <w:t>数值</w:t>
            </w:r>
          </w:p>
        </w:tc>
        <w:tc>
          <w:tcPr>
            <w:tcW w:w="2880" w:type="dxa"/>
          </w:tcPr>
          <w:p w14:paraId="33F4BEEE">
            <w:pPr>
              <w:spacing w:after="0" w:line="240" w:lineRule="auto"/>
            </w:pPr>
            <w:r>
              <w:rPr>
                <w:b/>
              </w:rPr>
              <w:t>与基线对比</w:t>
            </w:r>
          </w:p>
        </w:tc>
      </w:tr>
      <w:tr w14:paraId="541343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2B2962">
            <w:pPr>
              <w:spacing w:after="0" w:line="240" w:lineRule="auto"/>
            </w:pPr>
            <w:r>
              <w:t>专区总数</w:t>
            </w:r>
          </w:p>
        </w:tc>
        <w:tc>
          <w:tcPr>
            <w:tcW w:w="2880" w:type="dxa"/>
          </w:tcPr>
          <w:p w14:paraId="19DD069B">
            <w:pPr>
              <w:spacing w:after="0" w:line="240" w:lineRule="auto"/>
            </w:pPr>
            <w:r>
              <w:t>155个</w:t>
            </w:r>
          </w:p>
        </w:tc>
        <w:tc>
          <w:tcPr>
            <w:tcW w:w="2880" w:type="dxa"/>
          </w:tcPr>
          <w:p w14:paraId="2A004CAE">
            <w:pPr>
              <w:spacing w:after="0" w:line="240" w:lineRule="auto"/>
            </w:pPr>
            <w:r>
              <w:t>-</w:t>
            </w:r>
          </w:p>
        </w:tc>
      </w:tr>
      <w:tr w14:paraId="746EB3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AF946C">
            <w:pPr>
              <w:spacing w:after="0" w:line="240" w:lineRule="auto"/>
            </w:pPr>
            <w:r>
              <w:t>累计收益</w:t>
            </w:r>
          </w:p>
        </w:tc>
        <w:tc>
          <w:tcPr>
            <w:tcW w:w="2880" w:type="dxa"/>
          </w:tcPr>
          <w:p w14:paraId="08EBA438">
            <w:pPr>
              <w:spacing w:after="0" w:line="240" w:lineRule="auto"/>
            </w:pPr>
            <w:r>
              <w:t>66,237.4元</w:t>
            </w:r>
          </w:p>
        </w:tc>
        <w:tc>
          <w:tcPr>
            <w:tcW w:w="2880" w:type="dxa"/>
          </w:tcPr>
          <w:p w14:paraId="2C3EDA9E">
            <w:pPr>
              <w:spacing w:after="0" w:line="240" w:lineRule="auto"/>
            </w:pPr>
            <w:r>
              <w:t>-</w:t>
            </w:r>
          </w:p>
        </w:tc>
      </w:tr>
      <w:tr w14:paraId="36E1D5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78C3BD">
            <w:pPr>
              <w:spacing w:after="0" w:line="240" w:lineRule="auto"/>
            </w:pPr>
            <w:r>
              <w:t>成本超标专区</w:t>
            </w:r>
          </w:p>
        </w:tc>
        <w:tc>
          <w:tcPr>
            <w:tcW w:w="2880" w:type="dxa"/>
          </w:tcPr>
          <w:p w14:paraId="1D94BC8A">
            <w:pPr>
              <w:spacing w:after="0" w:line="240" w:lineRule="auto"/>
            </w:pPr>
            <w:r>
              <w:t>4个</w:t>
            </w:r>
          </w:p>
        </w:tc>
        <w:tc>
          <w:tcPr>
            <w:tcW w:w="2880" w:type="dxa"/>
          </w:tcPr>
          <w:p w14:paraId="01BF40B8">
            <w:pPr>
              <w:spacing w:after="0" w:line="240" w:lineRule="auto"/>
            </w:pPr>
            <w:r>
              <w:t>超32,000元基线</w:t>
            </w:r>
          </w:p>
        </w:tc>
      </w:tr>
      <w:tr w14:paraId="319515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16ABA4">
            <w:pPr>
              <w:spacing w:after="0" w:line="240" w:lineRule="auto"/>
            </w:pPr>
            <w:r>
              <w:t>成本率超标专区</w:t>
            </w:r>
          </w:p>
        </w:tc>
        <w:tc>
          <w:tcPr>
            <w:tcW w:w="2880" w:type="dxa"/>
          </w:tcPr>
          <w:p w14:paraId="163A181D">
            <w:pPr>
              <w:spacing w:after="0" w:line="240" w:lineRule="auto"/>
            </w:pPr>
            <w:r>
              <w:t>4个</w:t>
            </w:r>
          </w:p>
        </w:tc>
        <w:tc>
          <w:tcPr>
            <w:tcW w:w="2880" w:type="dxa"/>
          </w:tcPr>
          <w:p w14:paraId="2A9D140A">
            <w:pPr>
              <w:spacing w:after="0" w:line="240" w:lineRule="auto"/>
            </w:pPr>
            <w:r>
              <w:t>超58%基线</w:t>
            </w:r>
          </w:p>
        </w:tc>
      </w:tr>
    </w:tbl>
    <w:p w14:paraId="35775471">
      <w:r>
        <w:br w:type="textWrapping"/>
      </w:r>
      <w:r>
        <w:t>【主要问题】</w:t>
      </w:r>
    </w:p>
    <w:p w14:paraId="5D194D10">
      <w:pPr>
        <w:pStyle w:val="16"/>
        <w:ind w:left="360"/>
      </w:pPr>
      <w:r>
        <w:t>北京、湖北、山西、甘肃4个专区成本超过32,000元基线</w:t>
      </w:r>
    </w:p>
    <w:p w14:paraId="4DAFACF1">
      <w:pPr>
        <w:pStyle w:val="16"/>
        <w:ind w:left="360"/>
      </w:pPr>
      <w:r>
        <w:t>北京、湖北、山西、甘肃4个专区成本率超过58%基线</w:t>
      </w:r>
    </w:p>
    <w:p w14:paraId="3DE3942A">
      <w:pPr>
        <w:pStyle w:val="16"/>
        <w:ind w:left="360"/>
      </w:pPr>
      <w:r>
        <w:t>北京专区成本率高达117%，严重超标</w:t>
      </w:r>
    </w:p>
    <w:p w14:paraId="2E410D70">
      <w:pPr>
        <w:pStyle w:val="16"/>
        <w:ind w:left="360"/>
      </w:pPr>
      <w:r>
        <w:t>部分专区存在接入超时、项目数不达标等问题</w:t>
      </w:r>
    </w:p>
    <w:p w14:paraId="1651CABF">
      <w:r>
        <w:br w:type="textWrapping"/>
      </w:r>
      <w:r>
        <w:t>【建议措施】</w:t>
      </w:r>
    </w:p>
    <w:p w14:paraId="30FAAADC">
      <w:pPr>
        <w:pStyle w:val="16"/>
        <w:ind w:left="360"/>
      </w:pPr>
      <w:r>
        <w:t>立即对成本超标专区（北京、湖北、山西、甘肃）进行成本复盘约谈</w:t>
      </w:r>
    </w:p>
    <w:p w14:paraId="78FC34CF">
      <w:pPr>
        <w:pStyle w:val="16"/>
        <w:ind w:left="360"/>
      </w:pPr>
      <w:r>
        <w:t>对成本率&gt;65%的专区（北京、山西、甘肃）制定整改计划</w:t>
      </w:r>
    </w:p>
    <w:p w14:paraId="6DF40186">
      <w:pPr>
        <w:pStyle w:val="16"/>
        <w:ind w:left="360"/>
      </w:pPr>
      <w:r>
        <w:t>对僵尸专区进行下线评估，释放资源</w:t>
      </w:r>
    </w:p>
    <w:p w14:paraId="26B2F417">
      <w:pPr>
        <w:pStyle w:val="16"/>
        <w:ind w:left="360"/>
      </w:pPr>
      <w:r>
        <w:t>对潜力专区（宁夏、河北）加大上量支持</w:t>
      </w:r>
    </w:p>
    <w:p w14:paraId="157D2248">
      <w:r>
        <w:br w:type="page"/>
      </w:r>
    </w:p>
    <w:p w14:paraId="2C11BC47">
      <w:pPr>
        <w:pStyle w:val="3"/>
      </w:pPr>
      <w:r>
        <w:t>二、核心数据总览</w:t>
      </w:r>
    </w:p>
    <w:p w14:paraId="210E3E5F">
      <w:pPr>
        <w:pStyle w:val="4"/>
      </w:pPr>
      <w:r>
        <w:t>2.1 关键指标概览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9F027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6D0FB6">
            <w:pPr>
              <w:spacing w:after="0" w:line="240" w:lineRule="auto"/>
            </w:pPr>
            <w:r>
              <w:rPr>
                <w:b/>
              </w:rPr>
              <w:t>核心指标</w:t>
            </w:r>
          </w:p>
        </w:tc>
        <w:tc>
          <w:tcPr>
            <w:tcW w:w="2880" w:type="dxa"/>
          </w:tcPr>
          <w:p w14:paraId="6560573C">
            <w:pPr>
              <w:spacing w:after="0" w:line="240" w:lineRule="auto"/>
            </w:pPr>
            <w:r>
              <w:rPr>
                <w:b/>
              </w:rPr>
              <w:t>2026年3月</w:t>
            </w:r>
          </w:p>
        </w:tc>
        <w:tc>
          <w:tcPr>
            <w:tcW w:w="2880" w:type="dxa"/>
          </w:tcPr>
          <w:p w14:paraId="050DFA5E">
            <w:pPr>
              <w:spacing w:after="0" w:line="240" w:lineRule="auto"/>
            </w:pPr>
            <w:r>
              <w:rPr>
                <w:b/>
              </w:rPr>
              <w:t>累计总数</w:t>
            </w:r>
          </w:p>
        </w:tc>
      </w:tr>
      <w:tr w14:paraId="40756C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653027">
            <w:pPr>
              <w:spacing w:after="0" w:line="240" w:lineRule="auto"/>
            </w:pPr>
            <w:r>
              <w:t>专区开设</w:t>
            </w:r>
          </w:p>
        </w:tc>
        <w:tc>
          <w:tcPr>
            <w:tcW w:w="2880" w:type="dxa"/>
          </w:tcPr>
          <w:p w14:paraId="0B94EAE6">
            <w:pPr>
              <w:spacing w:after="0" w:line="240" w:lineRule="auto"/>
            </w:pPr>
            <w:r>
              <w:t>155个</w:t>
            </w:r>
          </w:p>
        </w:tc>
        <w:tc>
          <w:tcPr>
            <w:tcW w:w="2880" w:type="dxa"/>
          </w:tcPr>
          <w:p w14:paraId="3D1190D7">
            <w:pPr>
              <w:spacing w:after="0" w:line="240" w:lineRule="auto"/>
            </w:pPr>
            <w:r>
              <w:t>19个</w:t>
            </w:r>
          </w:p>
        </w:tc>
      </w:tr>
      <w:tr w14:paraId="307382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091ED2">
            <w:pPr>
              <w:spacing w:after="0" w:line="240" w:lineRule="auto"/>
            </w:pPr>
            <w:r>
              <w:t>专区上线</w:t>
            </w:r>
          </w:p>
        </w:tc>
        <w:tc>
          <w:tcPr>
            <w:tcW w:w="2880" w:type="dxa"/>
          </w:tcPr>
          <w:p w14:paraId="42230F5F">
            <w:pPr>
              <w:spacing w:after="0" w:line="240" w:lineRule="auto"/>
            </w:pPr>
            <w:r>
              <w:t>17个</w:t>
            </w:r>
          </w:p>
        </w:tc>
        <w:tc>
          <w:tcPr>
            <w:tcW w:w="2880" w:type="dxa"/>
          </w:tcPr>
          <w:p w14:paraId="4C224A99">
            <w:pPr>
              <w:spacing w:after="0" w:line="240" w:lineRule="auto"/>
            </w:pPr>
            <w:r>
              <w:t>17个</w:t>
            </w:r>
          </w:p>
        </w:tc>
      </w:tr>
      <w:tr w14:paraId="45A4E9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6DD129">
            <w:pPr>
              <w:spacing w:after="0" w:line="240" w:lineRule="auto"/>
            </w:pPr>
            <w:r>
              <w:t>人工成本</w:t>
            </w:r>
          </w:p>
        </w:tc>
        <w:tc>
          <w:tcPr>
            <w:tcW w:w="2880" w:type="dxa"/>
          </w:tcPr>
          <w:p w14:paraId="33BDC2BE">
            <w:pPr>
              <w:spacing w:after="0" w:line="240" w:lineRule="auto"/>
            </w:pPr>
            <w:r>
              <w:t>49笔</w:t>
            </w:r>
          </w:p>
        </w:tc>
        <w:tc>
          <w:tcPr>
            <w:tcW w:w="2880" w:type="dxa"/>
          </w:tcPr>
          <w:p w14:paraId="3CFD4118">
            <w:pPr>
              <w:spacing w:after="0" w:line="240" w:lineRule="auto"/>
            </w:pPr>
            <w:r>
              <w:t>103笔</w:t>
            </w:r>
          </w:p>
        </w:tc>
      </w:tr>
      <w:tr w14:paraId="71B7A4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DFEE55">
            <w:pPr>
              <w:spacing w:after="0" w:line="240" w:lineRule="auto"/>
            </w:pPr>
            <w:r>
              <w:t>收益总额</w:t>
            </w:r>
          </w:p>
        </w:tc>
        <w:tc>
          <w:tcPr>
            <w:tcW w:w="2880" w:type="dxa"/>
          </w:tcPr>
          <w:p w14:paraId="00D6CAEF">
            <w:pPr>
              <w:spacing w:after="0" w:line="240" w:lineRule="auto"/>
            </w:pPr>
            <w:r>
              <w:t>31,799.97元</w:t>
            </w:r>
          </w:p>
        </w:tc>
        <w:tc>
          <w:tcPr>
            <w:tcW w:w="2880" w:type="dxa"/>
          </w:tcPr>
          <w:p w14:paraId="2BB638AC">
            <w:pPr>
              <w:spacing w:after="0" w:line="240" w:lineRule="auto"/>
            </w:pPr>
            <w:r>
              <w:t>66,237.4元</w:t>
            </w:r>
          </w:p>
        </w:tc>
      </w:tr>
    </w:tbl>
    <w:p w14:paraId="0839BE4E">
      <w:pPr>
        <w:pStyle w:val="4"/>
      </w:pPr>
      <w:r>
        <w:t>2.2 成本收益对比分析</w:t>
      </w:r>
    </w:p>
    <w:p w14:paraId="50D30B35">
      <w:r>
        <w:rPr>
          <w:b/>
        </w:rPr>
        <w:t>【基线标准】</w:t>
      </w:r>
      <w:r>
        <w:rPr>
          <w:b/>
        </w:rPr>
        <w:br w:type="textWrapping"/>
      </w:r>
      <w:r>
        <w:t>• 上线前投入成本：不超过32,000元</w:t>
      </w:r>
      <w:r>
        <w:br w:type="textWrapping"/>
      </w:r>
      <w:r>
        <w:t>• 成本率标准：每10,000元利润对应5,800元成本（58%）</w:t>
      </w:r>
      <w:r>
        <w:br w:type="textWrapping"/>
      </w:r>
      <w:r>
        <w:br w:type="textWrapping"/>
      </w:r>
    </w:p>
    <w:p w14:paraId="70B3EA8E">
      <w:r>
        <w:t>【成本收益趋势】</w:t>
      </w:r>
    </w:p>
    <w:p w14:paraId="469010D7">
      <w:pPr>
        <w:jc w:val="center"/>
      </w:pPr>
      <w:r>
        <w:drawing>
          <wp:inline distT="0" distB="0" distL="114300" distR="114300">
            <wp:extent cx="5486400" cy="3269615"/>
            <wp:effectExtent l="0" t="0" r="825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BB81">
      <w:r>
        <w:t>图表说明：3月累计收益66,237.4元，已超过成本基线32,000元，整体实现盈利。</w:t>
      </w:r>
    </w:p>
    <w:p w14:paraId="7B736A9C">
      <w:r>
        <w:br w:type="page"/>
      </w:r>
    </w:p>
    <w:p w14:paraId="58A5D478">
      <w:pPr>
        <w:pStyle w:val="4"/>
      </w:pPr>
      <w:r>
        <w:t>2.3 各专区成本收益明细</w:t>
      </w:r>
    </w:p>
    <w:p w14:paraId="2924E7C1">
      <w:r>
        <w:t>【各省份上线前成本对比】</w:t>
      </w:r>
    </w:p>
    <w:p w14:paraId="2EB98770">
      <w:pPr>
        <w:jc w:val="center"/>
      </w:pPr>
      <w:r>
        <w:drawing>
          <wp:inline distT="0" distB="0" distL="114300" distR="114300">
            <wp:extent cx="5943600" cy="2945130"/>
            <wp:effectExtent l="0" t="0" r="444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7D7791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2D3C9E7">
            <w:pPr>
              <w:spacing w:after="0" w:line="240" w:lineRule="auto"/>
            </w:pPr>
            <w:r>
              <w:rPr>
                <w:b/>
              </w:rPr>
              <w:t>省份</w:t>
            </w:r>
          </w:p>
        </w:tc>
        <w:tc>
          <w:tcPr>
            <w:tcW w:w="1440" w:type="dxa"/>
          </w:tcPr>
          <w:p w14:paraId="4F90B1DF">
            <w:pPr>
              <w:spacing w:after="0" w:line="240" w:lineRule="auto"/>
            </w:pPr>
            <w:r>
              <w:rPr>
                <w:b/>
              </w:rPr>
              <w:t>上线前成本</w:t>
            </w:r>
          </w:p>
        </w:tc>
        <w:tc>
          <w:tcPr>
            <w:tcW w:w="1440" w:type="dxa"/>
          </w:tcPr>
          <w:p w14:paraId="282D840D">
            <w:pPr>
              <w:spacing w:after="0" w:line="240" w:lineRule="auto"/>
            </w:pPr>
            <w:r>
              <w:rPr>
                <w:b/>
              </w:rPr>
              <w:t>累计收益</w:t>
            </w:r>
          </w:p>
        </w:tc>
        <w:tc>
          <w:tcPr>
            <w:tcW w:w="1440" w:type="dxa"/>
          </w:tcPr>
          <w:p w14:paraId="72557E09">
            <w:pPr>
              <w:spacing w:after="0" w:line="240" w:lineRule="auto"/>
            </w:pPr>
            <w:r>
              <w:rPr>
                <w:b/>
              </w:rPr>
              <w:t>成本率</w:t>
            </w:r>
          </w:p>
        </w:tc>
        <w:tc>
          <w:tcPr>
            <w:tcW w:w="1440" w:type="dxa"/>
          </w:tcPr>
          <w:p w14:paraId="21C52269">
            <w:pPr>
              <w:spacing w:after="0" w:line="240" w:lineRule="auto"/>
            </w:pPr>
            <w:r>
              <w:rPr>
                <w:b/>
              </w:rPr>
              <w:t>预警状态</w:t>
            </w:r>
          </w:p>
        </w:tc>
        <w:tc>
          <w:tcPr>
            <w:tcW w:w="1440" w:type="dxa"/>
          </w:tcPr>
          <w:p w14:paraId="23A23F55">
            <w:pPr>
              <w:spacing w:after="0" w:line="240" w:lineRule="auto"/>
            </w:pPr>
            <w:r>
              <w:rPr>
                <w:b/>
              </w:rPr>
              <w:t>建议措施</w:t>
            </w:r>
          </w:p>
        </w:tc>
      </w:tr>
      <w:tr w14:paraId="3B2087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AC8C64B">
            <w:pPr>
              <w:spacing w:after="0" w:line="240" w:lineRule="auto"/>
            </w:pPr>
            <w:r>
              <w:t>安徽</w:t>
            </w:r>
          </w:p>
        </w:tc>
        <w:tc>
          <w:tcPr>
            <w:tcW w:w="1440" w:type="dxa"/>
          </w:tcPr>
          <w:p w14:paraId="3BD7F63D">
            <w:pPr>
              <w:spacing w:after="0" w:line="240" w:lineRule="auto"/>
            </w:pPr>
            <w:r>
              <w:t>28,000</w:t>
            </w:r>
          </w:p>
        </w:tc>
        <w:tc>
          <w:tcPr>
            <w:tcW w:w="1440" w:type="dxa"/>
          </w:tcPr>
          <w:p w14:paraId="4F0141F4">
            <w:pPr>
              <w:spacing w:after="0" w:line="240" w:lineRule="auto"/>
            </w:pPr>
            <w:r>
              <w:t>45,000</w:t>
            </w:r>
          </w:p>
        </w:tc>
        <w:tc>
          <w:tcPr>
            <w:tcW w:w="1440" w:type="dxa"/>
          </w:tcPr>
          <w:p w14:paraId="69F18823">
            <w:pPr>
              <w:spacing w:after="0" w:line="240" w:lineRule="auto"/>
            </w:pPr>
            <w:r>
              <w:t>62%</w:t>
            </w:r>
          </w:p>
        </w:tc>
        <w:tc>
          <w:tcPr>
            <w:tcW w:w="1440" w:type="dxa"/>
          </w:tcPr>
          <w:p w14:paraId="096C7882">
            <w:pPr>
              <w:spacing w:after="0" w:line="240" w:lineRule="auto"/>
            </w:pPr>
            <w:r>
              <w:t>黄色预警</w:t>
            </w:r>
          </w:p>
        </w:tc>
        <w:tc>
          <w:tcPr>
            <w:tcW w:w="1440" w:type="dxa"/>
          </w:tcPr>
          <w:p w14:paraId="76A43806">
            <w:pPr>
              <w:spacing w:after="0" w:line="240" w:lineRule="auto"/>
            </w:pPr>
            <w:r>
              <w:t>持续监控</w:t>
            </w:r>
          </w:p>
        </w:tc>
      </w:tr>
      <w:tr w14:paraId="351A9F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0E8D3AD">
            <w:pPr>
              <w:spacing w:after="0" w:line="240" w:lineRule="auto"/>
            </w:pPr>
            <w:r>
              <w:t>北京</w:t>
            </w:r>
          </w:p>
        </w:tc>
        <w:tc>
          <w:tcPr>
            <w:tcW w:w="1440" w:type="dxa"/>
          </w:tcPr>
          <w:p w14:paraId="3DFBAFF4">
            <w:pPr>
              <w:spacing w:after="0" w:line="240" w:lineRule="auto"/>
            </w:pPr>
            <w:r>
              <w:t>35,000</w:t>
            </w:r>
          </w:p>
        </w:tc>
        <w:tc>
          <w:tcPr>
            <w:tcW w:w="1440" w:type="dxa"/>
          </w:tcPr>
          <w:p w14:paraId="33E2747B">
            <w:pPr>
              <w:spacing w:after="0" w:line="240" w:lineRule="auto"/>
            </w:pPr>
            <w:r>
              <w:t>30,000</w:t>
            </w:r>
          </w:p>
        </w:tc>
        <w:tc>
          <w:tcPr>
            <w:tcW w:w="1440" w:type="dxa"/>
          </w:tcPr>
          <w:p w14:paraId="5973726C">
            <w:pPr>
              <w:spacing w:after="0" w:line="240" w:lineRule="auto"/>
            </w:pPr>
            <w:r>
              <w:t>117%</w:t>
            </w:r>
          </w:p>
        </w:tc>
        <w:tc>
          <w:tcPr>
            <w:tcW w:w="1440" w:type="dxa"/>
          </w:tcPr>
          <w:p w14:paraId="7B434B0C">
            <w:pPr>
              <w:spacing w:after="0" w:line="240" w:lineRule="auto"/>
            </w:pPr>
            <w:r>
              <w:t>红色超标</w:t>
            </w:r>
          </w:p>
        </w:tc>
        <w:tc>
          <w:tcPr>
            <w:tcW w:w="1440" w:type="dxa"/>
          </w:tcPr>
          <w:p w14:paraId="5A266A11">
            <w:pPr>
              <w:spacing w:after="0" w:line="240" w:lineRule="auto"/>
            </w:pPr>
            <w:r>
              <w:t>成本复盘约谈</w:t>
            </w:r>
          </w:p>
        </w:tc>
      </w:tr>
      <w:tr w14:paraId="06A642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3A68350">
            <w:pPr>
              <w:spacing w:after="0" w:line="240" w:lineRule="auto"/>
            </w:pPr>
            <w:r>
              <w:t>河北</w:t>
            </w:r>
          </w:p>
        </w:tc>
        <w:tc>
          <w:tcPr>
            <w:tcW w:w="1440" w:type="dxa"/>
          </w:tcPr>
          <w:p w14:paraId="2DC77409">
            <w:pPr>
              <w:spacing w:after="0" w:line="240" w:lineRule="auto"/>
            </w:pPr>
            <w:r>
              <w:t>25,000</w:t>
            </w:r>
          </w:p>
        </w:tc>
        <w:tc>
          <w:tcPr>
            <w:tcW w:w="1440" w:type="dxa"/>
          </w:tcPr>
          <w:p w14:paraId="20A3E4E6">
            <w:pPr>
              <w:spacing w:after="0" w:line="240" w:lineRule="auto"/>
            </w:pPr>
            <w:r>
              <w:t>60,000</w:t>
            </w:r>
          </w:p>
        </w:tc>
        <w:tc>
          <w:tcPr>
            <w:tcW w:w="1440" w:type="dxa"/>
          </w:tcPr>
          <w:p w14:paraId="59359E24">
            <w:pPr>
              <w:spacing w:after="0" w:line="240" w:lineRule="auto"/>
            </w:pPr>
            <w:r>
              <w:t>42%</w:t>
            </w:r>
          </w:p>
        </w:tc>
        <w:tc>
          <w:tcPr>
            <w:tcW w:w="1440" w:type="dxa"/>
          </w:tcPr>
          <w:p w14:paraId="1F51F25B">
            <w:pPr>
              <w:spacing w:after="0" w:line="240" w:lineRule="auto"/>
            </w:pPr>
            <w:r>
              <w:t>正常</w:t>
            </w:r>
          </w:p>
        </w:tc>
        <w:tc>
          <w:tcPr>
            <w:tcW w:w="1440" w:type="dxa"/>
          </w:tcPr>
          <w:p w14:paraId="05BF5B23">
            <w:pPr>
              <w:spacing w:after="0" w:line="240" w:lineRule="auto"/>
            </w:pPr>
            <w:r>
              <w:t>持续监控</w:t>
            </w:r>
          </w:p>
        </w:tc>
      </w:tr>
      <w:tr w14:paraId="6F29AF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B648E16">
            <w:pPr>
              <w:spacing w:after="0" w:line="240" w:lineRule="auto"/>
            </w:pPr>
            <w:r>
              <w:t>河南</w:t>
            </w:r>
          </w:p>
        </w:tc>
        <w:tc>
          <w:tcPr>
            <w:tcW w:w="1440" w:type="dxa"/>
          </w:tcPr>
          <w:p w14:paraId="6CD43113">
            <w:pPr>
              <w:spacing w:after="0" w:line="240" w:lineRule="auto"/>
            </w:pPr>
            <w:r>
              <w:t>30,000</w:t>
            </w:r>
          </w:p>
        </w:tc>
        <w:tc>
          <w:tcPr>
            <w:tcW w:w="1440" w:type="dxa"/>
          </w:tcPr>
          <w:p w14:paraId="7F0C33B1">
            <w:pPr>
              <w:spacing w:after="0" w:line="240" w:lineRule="auto"/>
            </w:pPr>
            <w:r>
              <w:t>55,000</w:t>
            </w:r>
          </w:p>
        </w:tc>
        <w:tc>
          <w:tcPr>
            <w:tcW w:w="1440" w:type="dxa"/>
          </w:tcPr>
          <w:p w14:paraId="31EC21C1">
            <w:pPr>
              <w:spacing w:after="0" w:line="240" w:lineRule="auto"/>
            </w:pPr>
            <w:r>
              <w:t>55%</w:t>
            </w:r>
          </w:p>
        </w:tc>
        <w:tc>
          <w:tcPr>
            <w:tcW w:w="1440" w:type="dxa"/>
          </w:tcPr>
          <w:p w14:paraId="4F71A33C">
            <w:pPr>
              <w:spacing w:after="0" w:line="240" w:lineRule="auto"/>
            </w:pPr>
            <w:r>
              <w:t>正常</w:t>
            </w:r>
          </w:p>
        </w:tc>
        <w:tc>
          <w:tcPr>
            <w:tcW w:w="1440" w:type="dxa"/>
          </w:tcPr>
          <w:p w14:paraId="2C67CBEB">
            <w:pPr>
              <w:spacing w:after="0" w:line="240" w:lineRule="auto"/>
            </w:pPr>
            <w:r>
              <w:t>持续监控</w:t>
            </w:r>
          </w:p>
        </w:tc>
      </w:tr>
      <w:tr w14:paraId="0017F6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F20BBF9">
            <w:pPr>
              <w:spacing w:after="0" w:line="240" w:lineRule="auto"/>
            </w:pPr>
            <w:r>
              <w:t>湖北</w:t>
            </w:r>
          </w:p>
        </w:tc>
        <w:tc>
          <w:tcPr>
            <w:tcW w:w="1440" w:type="dxa"/>
          </w:tcPr>
          <w:p w14:paraId="07D50F8F">
            <w:pPr>
              <w:spacing w:after="0" w:line="240" w:lineRule="auto"/>
            </w:pPr>
            <w:r>
              <w:t>32,000</w:t>
            </w:r>
          </w:p>
        </w:tc>
        <w:tc>
          <w:tcPr>
            <w:tcW w:w="1440" w:type="dxa"/>
          </w:tcPr>
          <w:p w14:paraId="152D967F">
            <w:pPr>
              <w:spacing w:after="0" w:line="240" w:lineRule="auto"/>
            </w:pPr>
            <w:r>
              <w:t>48,000</w:t>
            </w:r>
          </w:p>
        </w:tc>
        <w:tc>
          <w:tcPr>
            <w:tcW w:w="1440" w:type="dxa"/>
          </w:tcPr>
          <w:p w14:paraId="6B6224E7">
            <w:pPr>
              <w:spacing w:after="0" w:line="240" w:lineRule="auto"/>
            </w:pPr>
            <w:r>
              <w:t>67%</w:t>
            </w:r>
          </w:p>
        </w:tc>
        <w:tc>
          <w:tcPr>
            <w:tcW w:w="1440" w:type="dxa"/>
          </w:tcPr>
          <w:p w14:paraId="3D6553A4">
            <w:pPr>
              <w:spacing w:after="0" w:line="240" w:lineRule="auto"/>
            </w:pPr>
            <w:r>
              <w:t>红色超标</w:t>
            </w:r>
          </w:p>
        </w:tc>
        <w:tc>
          <w:tcPr>
            <w:tcW w:w="1440" w:type="dxa"/>
          </w:tcPr>
          <w:p w14:paraId="347774C0">
            <w:pPr>
              <w:spacing w:after="0" w:line="240" w:lineRule="auto"/>
            </w:pPr>
            <w:r>
              <w:t>成本复盘约谈</w:t>
            </w:r>
          </w:p>
        </w:tc>
      </w:tr>
      <w:tr w14:paraId="3AEEE8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0DCDFAF">
            <w:pPr>
              <w:spacing w:after="0" w:line="240" w:lineRule="auto"/>
            </w:pPr>
            <w:r>
              <w:t>内蒙古</w:t>
            </w:r>
          </w:p>
        </w:tc>
        <w:tc>
          <w:tcPr>
            <w:tcW w:w="1440" w:type="dxa"/>
          </w:tcPr>
          <w:p w14:paraId="33448670">
            <w:pPr>
              <w:spacing w:after="0" w:line="240" w:lineRule="auto"/>
            </w:pPr>
            <w:r>
              <w:t>27,000</w:t>
            </w:r>
          </w:p>
        </w:tc>
        <w:tc>
          <w:tcPr>
            <w:tcW w:w="1440" w:type="dxa"/>
          </w:tcPr>
          <w:p w14:paraId="2D37FF4A">
            <w:pPr>
              <w:spacing w:after="0" w:line="240" w:lineRule="auto"/>
            </w:pPr>
            <w:r>
              <w:t>52,000</w:t>
            </w:r>
          </w:p>
        </w:tc>
        <w:tc>
          <w:tcPr>
            <w:tcW w:w="1440" w:type="dxa"/>
          </w:tcPr>
          <w:p w14:paraId="2F3B0346">
            <w:pPr>
              <w:spacing w:after="0" w:line="240" w:lineRule="auto"/>
            </w:pPr>
            <w:r>
              <w:t>52%</w:t>
            </w:r>
          </w:p>
        </w:tc>
        <w:tc>
          <w:tcPr>
            <w:tcW w:w="1440" w:type="dxa"/>
          </w:tcPr>
          <w:p w14:paraId="685602C7">
            <w:pPr>
              <w:spacing w:after="0" w:line="240" w:lineRule="auto"/>
            </w:pPr>
            <w:r>
              <w:t>正常</w:t>
            </w:r>
          </w:p>
        </w:tc>
        <w:tc>
          <w:tcPr>
            <w:tcW w:w="1440" w:type="dxa"/>
          </w:tcPr>
          <w:p w14:paraId="0BB78457">
            <w:pPr>
              <w:spacing w:after="0" w:line="240" w:lineRule="auto"/>
            </w:pPr>
            <w:r>
              <w:t>持续监控</w:t>
            </w:r>
          </w:p>
        </w:tc>
      </w:tr>
      <w:tr w14:paraId="23F491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D96CDDA">
            <w:pPr>
              <w:spacing w:after="0" w:line="240" w:lineRule="auto"/>
            </w:pPr>
            <w:r>
              <w:t>山西</w:t>
            </w:r>
          </w:p>
        </w:tc>
        <w:tc>
          <w:tcPr>
            <w:tcW w:w="1440" w:type="dxa"/>
          </w:tcPr>
          <w:p w14:paraId="4E355270">
            <w:pPr>
              <w:spacing w:after="0" w:line="240" w:lineRule="auto"/>
            </w:pPr>
            <w:r>
              <w:t>31,000</w:t>
            </w:r>
          </w:p>
        </w:tc>
        <w:tc>
          <w:tcPr>
            <w:tcW w:w="1440" w:type="dxa"/>
          </w:tcPr>
          <w:p w14:paraId="6819E6BD">
            <w:pPr>
              <w:spacing w:after="0" w:line="240" w:lineRule="auto"/>
            </w:pPr>
            <w:r>
              <w:t>40,000</w:t>
            </w:r>
          </w:p>
        </w:tc>
        <w:tc>
          <w:tcPr>
            <w:tcW w:w="1440" w:type="dxa"/>
          </w:tcPr>
          <w:p w14:paraId="20F38D15">
            <w:pPr>
              <w:spacing w:after="0" w:line="240" w:lineRule="auto"/>
            </w:pPr>
            <w:r>
              <w:t>78%</w:t>
            </w:r>
          </w:p>
        </w:tc>
        <w:tc>
          <w:tcPr>
            <w:tcW w:w="1440" w:type="dxa"/>
          </w:tcPr>
          <w:p w14:paraId="4DE03780">
            <w:pPr>
              <w:spacing w:after="0" w:line="240" w:lineRule="auto"/>
            </w:pPr>
            <w:r>
              <w:t>红色超标</w:t>
            </w:r>
          </w:p>
        </w:tc>
        <w:tc>
          <w:tcPr>
            <w:tcW w:w="1440" w:type="dxa"/>
          </w:tcPr>
          <w:p w14:paraId="23154410">
            <w:pPr>
              <w:spacing w:after="0" w:line="240" w:lineRule="auto"/>
            </w:pPr>
            <w:r>
              <w:t>成本复盘约谈</w:t>
            </w:r>
          </w:p>
        </w:tc>
      </w:tr>
      <w:tr w14:paraId="4E7498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7005A4D">
            <w:pPr>
              <w:spacing w:after="0" w:line="240" w:lineRule="auto"/>
            </w:pPr>
            <w:r>
              <w:t>陕西</w:t>
            </w:r>
          </w:p>
        </w:tc>
        <w:tc>
          <w:tcPr>
            <w:tcW w:w="1440" w:type="dxa"/>
          </w:tcPr>
          <w:p w14:paraId="70D85B5C">
            <w:pPr>
              <w:spacing w:after="0" w:line="240" w:lineRule="auto"/>
            </w:pPr>
            <w:r>
              <w:t>29,000</w:t>
            </w:r>
          </w:p>
        </w:tc>
        <w:tc>
          <w:tcPr>
            <w:tcW w:w="1440" w:type="dxa"/>
          </w:tcPr>
          <w:p w14:paraId="1177280D">
            <w:pPr>
              <w:spacing w:after="0" w:line="240" w:lineRule="auto"/>
            </w:pPr>
            <w:r>
              <w:t>58,000</w:t>
            </w:r>
          </w:p>
        </w:tc>
        <w:tc>
          <w:tcPr>
            <w:tcW w:w="1440" w:type="dxa"/>
          </w:tcPr>
          <w:p w14:paraId="0F6768BD">
            <w:pPr>
              <w:spacing w:after="0" w:line="240" w:lineRule="auto"/>
            </w:pPr>
            <w:r>
              <w:t>50%</w:t>
            </w:r>
          </w:p>
        </w:tc>
        <w:tc>
          <w:tcPr>
            <w:tcW w:w="1440" w:type="dxa"/>
          </w:tcPr>
          <w:p w14:paraId="41977E24">
            <w:pPr>
              <w:spacing w:after="0" w:line="240" w:lineRule="auto"/>
            </w:pPr>
            <w:r>
              <w:t>正常</w:t>
            </w:r>
          </w:p>
        </w:tc>
        <w:tc>
          <w:tcPr>
            <w:tcW w:w="1440" w:type="dxa"/>
          </w:tcPr>
          <w:p w14:paraId="31D0EDDE">
            <w:pPr>
              <w:spacing w:after="0" w:line="240" w:lineRule="auto"/>
            </w:pPr>
            <w:r>
              <w:t>持续监控</w:t>
            </w:r>
          </w:p>
        </w:tc>
      </w:tr>
      <w:tr w14:paraId="5F8B90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685FE56">
            <w:pPr>
              <w:spacing w:after="0" w:line="240" w:lineRule="auto"/>
            </w:pPr>
            <w:r>
              <w:t>甘肃</w:t>
            </w:r>
          </w:p>
        </w:tc>
        <w:tc>
          <w:tcPr>
            <w:tcW w:w="1440" w:type="dxa"/>
          </w:tcPr>
          <w:p w14:paraId="3F5710AB">
            <w:pPr>
              <w:spacing w:after="0" w:line="240" w:lineRule="auto"/>
            </w:pPr>
            <w:r>
              <w:t>33,000</w:t>
            </w:r>
          </w:p>
        </w:tc>
        <w:tc>
          <w:tcPr>
            <w:tcW w:w="1440" w:type="dxa"/>
          </w:tcPr>
          <w:p w14:paraId="63E086AD">
            <w:pPr>
              <w:spacing w:after="0" w:line="240" w:lineRule="auto"/>
            </w:pPr>
            <w:r>
              <w:t>35,000</w:t>
            </w:r>
          </w:p>
        </w:tc>
        <w:tc>
          <w:tcPr>
            <w:tcW w:w="1440" w:type="dxa"/>
          </w:tcPr>
          <w:p w14:paraId="15801DD1">
            <w:pPr>
              <w:spacing w:after="0" w:line="240" w:lineRule="auto"/>
            </w:pPr>
            <w:r>
              <w:t>94%</w:t>
            </w:r>
          </w:p>
        </w:tc>
        <w:tc>
          <w:tcPr>
            <w:tcW w:w="1440" w:type="dxa"/>
          </w:tcPr>
          <w:p w14:paraId="66224660">
            <w:pPr>
              <w:spacing w:after="0" w:line="240" w:lineRule="auto"/>
            </w:pPr>
            <w:r>
              <w:t>红色超标</w:t>
            </w:r>
          </w:p>
        </w:tc>
        <w:tc>
          <w:tcPr>
            <w:tcW w:w="1440" w:type="dxa"/>
          </w:tcPr>
          <w:p w14:paraId="4682424E">
            <w:pPr>
              <w:spacing w:after="0" w:line="240" w:lineRule="auto"/>
            </w:pPr>
            <w:r>
              <w:t>成本复盘约谈</w:t>
            </w:r>
          </w:p>
        </w:tc>
      </w:tr>
      <w:tr w14:paraId="2F1C85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D93633B">
            <w:pPr>
              <w:spacing w:after="0" w:line="240" w:lineRule="auto"/>
            </w:pPr>
            <w:r>
              <w:t>宁夏</w:t>
            </w:r>
          </w:p>
        </w:tc>
        <w:tc>
          <w:tcPr>
            <w:tcW w:w="1440" w:type="dxa"/>
          </w:tcPr>
          <w:p w14:paraId="3E5ED898">
            <w:pPr>
              <w:spacing w:after="0" w:line="240" w:lineRule="auto"/>
            </w:pPr>
            <w:r>
              <w:t>26,000</w:t>
            </w:r>
          </w:p>
        </w:tc>
        <w:tc>
          <w:tcPr>
            <w:tcW w:w="1440" w:type="dxa"/>
          </w:tcPr>
          <w:p w14:paraId="1700CCCB">
            <w:pPr>
              <w:spacing w:after="0" w:line="240" w:lineRule="auto"/>
            </w:pPr>
            <w:r>
              <w:t>65,000</w:t>
            </w:r>
          </w:p>
        </w:tc>
        <w:tc>
          <w:tcPr>
            <w:tcW w:w="1440" w:type="dxa"/>
          </w:tcPr>
          <w:p w14:paraId="6472E12C">
            <w:pPr>
              <w:spacing w:after="0" w:line="240" w:lineRule="auto"/>
            </w:pPr>
            <w:r>
              <w:t>40%</w:t>
            </w:r>
          </w:p>
        </w:tc>
        <w:tc>
          <w:tcPr>
            <w:tcW w:w="1440" w:type="dxa"/>
          </w:tcPr>
          <w:p w14:paraId="435662F5">
            <w:pPr>
              <w:spacing w:after="0" w:line="240" w:lineRule="auto"/>
            </w:pPr>
            <w:r>
              <w:t>正常</w:t>
            </w:r>
          </w:p>
        </w:tc>
        <w:tc>
          <w:tcPr>
            <w:tcW w:w="1440" w:type="dxa"/>
          </w:tcPr>
          <w:p w14:paraId="3AFA943C">
            <w:pPr>
              <w:spacing w:after="0" w:line="240" w:lineRule="auto"/>
            </w:pPr>
            <w:r>
              <w:t>加大上量支持</w:t>
            </w:r>
          </w:p>
        </w:tc>
      </w:tr>
    </w:tbl>
    <w:p w14:paraId="73FD5E59">
      <w:r>
        <w:br w:type="page"/>
      </w:r>
    </w:p>
    <w:p w14:paraId="3FDBEADA">
      <w:pPr>
        <w:pStyle w:val="4"/>
      </w:pPr>
      <w:r>
        <w:t>2.4 成本率分析</w:t>
      </w:r>
    </w:p>
    <w:p w14:paraId="635E7B3A">
      <w:r>
        <w:t>【成本率分布】</w:t>
      </w:r>
    </w:p>
    <w:p w14:paraId="749D1DCF">
      <w:pPr>
        <w:jc w:val="center"/>
      </w:pPr>
      <w:r>
        <w:drawing>
          <wp:inline distT="0" distB="0" distL="114300" distR="114300">
            <wp:extent cx="4572000" cy="4121785"/>
            <wp:effectExtent l="0" t="0" r="508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2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69CC">
      <w:r>
        <w:t>【各省份成本率对比】</w:t>
      </w:r>
    </w:p>
    <w:p w14:paraId="0935D816">
      <w:pPr>
        <w:jc w:val="center"/>
      </w:pPr>
      <w:r>
        <w:drawing>
          <wp:inline distT="0" distB="0" distL="114300" distR="114300">
            <wp:extent cx="5943600" cy="2946400"/>
            <wp:effectExtent l="0" t="0" r="444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4062">
      <w:r>
        <w:t>【成本率分析结论】</w:t>
      </w:r>
    </w:p>
    <w:p w14:paraId="26F91E69">
      <w:r>
        <w:br w:type="textWrapping"/>
      </w:r>
      <w:r>
        <w:t>• 健康专区（&lt;58%）：河北、河南、内蒙古、陕西、宁夏，共5个，占比50%</w:t>
      </w:r>
      <w:r>
        <w:br w:type="textWrapping"/>
      </w:r>
      <w:r>
        <w:t>• 预警专区（58%-65%）：安徽，共1个，占比10%</w:t>
      </w:r>
      <w:r>
        <w:br w:type="textWrapping"/>
      </w:r>
      <w:r>
        <w:t>• 超标专区（&gt;65%）：北京、湖北、山西、甘肃，共4个，占比40%</w:t>
      </w:r>
      <w:r>
        <w:br w:type="textWrapping"/>
      </w:r>
      <w:r>
        <w:br w:type="textWrapping"/>
      </w:r>
      <w:r>
        <w:t>重点关注：</w:t>
      </w:r>
      <w:r>
        <w:br w:type="textWrapping"/>
      </w:r>
      <w:r>
        <w:t>1. 北京专区成本率117%，严重超标，需立即整改</w:t>
      </w:r>
      <w:r>
        <w:br w:type="textWrapping"/>
      </w:r>
      <w:r>
        <w:t>2. 甘肃专区成本率94%，接近盈亏平衡点，需密切关注</w:t>
      </w:r>
      <w:r>
        <w:br w:type="textWrapping"/>
      </w:r>
      <w:r>
        <w:t>3. 宁夏专区成本率40%，表现优秀，可作为标杆推广</w:t>
      </w:r>
      <w:r>
        <w:br w:type="textWrapping"/>
      </w:r>
    </w:p>
    <w:p w14:paraId="0C22C873">
      <w:r>
        <w:br w:type="page"/>
      </w:r>
    </w:p>
    <w:p w14:paraId="21DC65D8">
      <w:pPr>
        <w:pStyle w:val="3"/>
      </w:pPr>
      <w:r>
        <w:t>三、合作推进情况</w:t>
      </w:r>
    </w:p>
    <w:p w14:paraId="4BCB9B75">
      <w:pPr>
        <w:pStyle w:val="4"/>
      </w:pPr>
      <w:r>
        <w:t>3.1 专区开设情况</w:t>
      </w:r>
    </w:p>
    <w:p w14:paraId="335D8FE7">
      <w:r>
        <w:t>2026年3月新开专区X个，其中河北省X个、山西省X个。截至目前，中原、华北区共开设专区19个。</w:t>
      </w:r>
    </w:p>
    <w:p w14:paraId="6A1729F8">
      <w:pPr>
        <w:pStyle w:val="4"/>
      </w:pPr>
      <w:r>
        <w:t>3.2 专区上线情况</w:t>
      </w:r>
    </w:p>
    <w:p w14:paraId="0B4AE3FF">
      <w:r>
        <w:t>截至2026年3月30日，已上线专区17个，上线率89.5%。未上线专区2个，正在推进中。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18E81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FDCA32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  <w:tc>
          <w:tcPr>
            <w:tcW w:w="2880" w:type="dxa"/>
          </w:tcPr>
          <w:p w14:paraId="11C91B46">
            <w:pPr>
              <w:spacing w:after="0" w:line="240" w:lineRule="auto"/>
            </w:pPr>
            <w:r>
              <w:rPr>
                <w:b/>
              </w:rPr>
              <w:t>数量</w:t>
            </w:r>
          </w:p>
        </w:tc>
        <w:tc>
          <w:tcPr>
            <w:tcW w:w="2880" w:type="dxa"/>
          </w:tcPr>
          <w:p w14:paraId="2FD82E12">
            <w:pPr>
              <w:spacing w:after="0" w:line="240" w:lineRule="auto"/>
            </w:pPr>
            <w:r>
              <w:rPr>
                <w:b/>
              </w:rPr>
              <w:t>占比</w:t>
            </w:r>
          </w:p>
        </w:tc>
      </w:tr>
      <w:tr w14:paraId="3E08E5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743368">
            <w:pPr>
              <w:spacing w:after="0" w:line="240" w:lineRule="auto"/>
            </w:pPr>
            <w:r>
              <w:t>已上线</w:t>
            </w:r>
          </w:p>
        </w:tc>
        <w:tc>
          <w:tcPr>
            <w:tcW w:w="2880" w:type="dxa"/>
          </w:tcPr>
          <w:p w14:paraId="2F3BF47B">
            <w:pPr>
              <w:spacing w:after="0" w:line="240" w:lineRule="auto"/>
            </w:pPr>
            <w:r>
              <w:t>17个</w:t>
            </w:r>
          </w:p>
        </w:tc>
        <w:tc>
          <w:tcPr>
            <w:tcW w:w="2880" w:type="dxa"/>
          </w:tcPr>
          <w:p w14:paraId="4B700F1D">
            <w:pPr>
              <w:spacing w:after="0" w:line="240" w:lineRule="auto"/>
            </w:pPr>
            <w:r>
              <w:t>89.5%</w:t>
            </w:r>
          </w:p>
        </w:tc>
      </w:tr>
      <w:tr w14:paraId="159399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B8E540">
            <w:pPr>
              <w:spacing w:after="0" w:line="240" w:lineRule="auto"/>
            </w:pPr>
            <w:r>
              <w:t>未上线</w:t>
            </w:r>
          </w:p>
        </w:tc>
        <w:tc>
          <w:tcPr>
            <w:tcW w:w="2880" w:type="dxa"/>
          </w:tcPr>
          <w:p w14:paraId="07C53732">
            <w:pPr>
              <w:spacing w:after="0" w:line="240" w:lineRule="auto"/>
            </w:pPr>
            <w:r>
              <w:t>2个</w:t>
            </w:r>
          </w:p>
        </w:tc>
        <w:tc>
          <w:tcPr>
            <w:tcW w:w="2880" w:type="dxa"/>
          </w:tcPr>
          <w:p w14:paraId="674A7660">
            <w:pPr>
              <w:spacing w:after="0" w:line="240" w:lineRule="auto"/>
            </w:pPr>
            <w:r>
              <w:t>10.5%</w:t>
            </w:r>
          </w:p>
        </w:tc>
      </w:tr>
      <w:tr w14:paraId="664A68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F16400">
            <w:pPr>
              <w:spacing w:after="0" w:line="240" w:lineRule="auto"/>
            </w:pPr>
            <w:r>
              <w:t>合计</w:t>
            </w:r>
          </w:p>
        </w:tc>
        <w:tc>
          <w:tcPr>
            <w:tcW w:w="2880" w:type="dxa"/>
          </w:tcPr>
          <w:p w14:paraId="4E0EF7D9">
            <w:pPr>
              <w:spacing w:after="0" w:line="240" w:lineRule="auto"/>
            </w:pPr>
            <w:r>
              <w:t>19个</w:t>
            </w:r>
          </w:p>
        </w:tc>
        <w:tc>
          <w:tcPr>
            <w:tcW w:w="2880" w:type="dxa"/>
          </w:tcPr>
          <w:p w14:paraId="2C7EE00D">
            <w:pPr>
              <w:spacing w:after="0" w:line="240" w:lineRule="auto"/>
            </w:pPr>
            <w:r>
              <w:t>100%</w:t>
            </w:r>
          </w:p>
        </w:tc>
      </w:tr>
    </w:tbl>
    <w:p w14:paraId="3F2A445C">
      <w:r>
        <w:br w:type="page"/>
      </w:r>
    </w:p>
    <w:p w14:paraId="448D9BD3">
      <w:pPr>
        <w:pStyle w:val="3"/>
      </w:pPr>
      <w:r>
        <w:t>四、产品运营详情</w:t>
      </w:r>
    </w:p>
    <w:p w14:paraId="4DD1F80D">
      <w:pPr>
        <w:pStyle w:val="4"/>
      </w:pPr>
      <w:r>
        <w:t>4.1 收益情况分析</w:t>
      </w:r>
    </w:p>
    <w:p w14:paraId="1F12BC2E">
      <w:r>
        <w:t>【收益概况】</w:t>
      </w:r>
    </w:p>
    <w:p w14:paraId="3724F886">
      <w:r>
        <w:br w:type="textWrapping"/>
      </w:r>
      <w:r>
        <w:t>• 3月收益：31,799.97元</w:t>
      </w:r>
      <w:r>
        <w:br w:type="textWrapping"/>
      </w:r>
      <w:r>
        <w:t>• 累计收益：66,237.4元</w:t>
      </w:r>
      <w:r>
        <w:br w:type="textWrapping"/>
      </w:r>
      <w:r>
        <w:t>• 平均单专区收益：3,486元</w:t>
      </w:r>
      <w:r>
        <w:br w:type="textWrapping"/>
      </w:r>
      <w:r>
        <w:t>• 收益达标率：60%（6个专区达到预期收益目标）</w:t>
      </w:r>
      <w:r>
        <w:br w:type="textWrapping"/>
      </w:r>
    </w:p>
    <w:p w14:paraId="1C25E476">
      <w:r>
        <w:t>【TOP3收益专区】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C7BC0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F973C0">
            <w:pPr>
              <w:spacing w:after="0" w:line="240" w:lineRule="auto"/>
            </w:pPr>
            <w:r>
              <w:rPr>
                <w:b/>
              </w:rPr>
              <w:t>排名</w:t>
            </w:r>
          </w:p>
        </w:tc>
        <w:tc>
          <w:tcPr>
            <w:tcW w:w="2160" w:type="dxa"/>
          </w:tcPr>
          <w:p w14:paraId="0A7834D4">
            <w:pPr>
              <w:spacing w:after="0" w:line="240" w:lineRule="auto"/>
            </w:pPr>
            <w:r>
              <w:rPr>
                <w:b/>
              </w:rPr>
              <w:t>专区名称</w:t>
            </w:r>
          </w:p>
        </w:tc>
        <w:tc>
          <w:tcPr>
            <w:tcW w:w="2160" w:type="dxa"/>
          </w:tcPr>
          <w:p w14:paraId="570B755E">
            <w:pPr>
              <w:spacing w:after="0" w:line="240" w:lineRule="auto"/>
            </w:pPr>
            <w:r>
              <w:rPr>
                <w:b/>
              </w:rPr>
              <w:t>累计收益</w:t>
            </w:r>
          </w:p>
        </w:tc>
        <w:tc>
          <w:tcPr>
            <w:tcW w:w="2160" w:type="dxa"/>
          </w:tcPr>
          <w:p w14:paraId="533639D9">
            <w:pPr>
              <w:spacing w:after="0" w:line="240" w:lineRule="auto"/>
            </w:pPr>
            <w:r>
              <w:rPr>
                <w:b/>
              </w:rPr>
              <w:t>成本率</w:t>
            </w:r>
          </w:p>
        </w:tc>
      </w:tr>
      <w:tr w14:paraId="0ABAF0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B25EA7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6E32E62B">
            <w:pPr>
              <w:spacing w:after="0" w:line="240" w:lineRule="auto"/>
            </w:pPr>
            <w:r>
              <w:t>宁夏专区</w:t>
            </w:r>
          </w:p>
        </w:tc>
        <w:tc>
          <w:tcPr>
            <w:tcW w:w="2160" w:type="dxa"/>
          </w:tcPr>
          <w:p w14:paraId="47134093">
            <w:pPr>
              <w:spacing w:after="0" w:line="240" w:lineRule="auto"/>
            </w:pPr>
            <w:r>
              <w:t>65,000元</w:t>
            </w:r>
          </w:p>
        </w:tc>
        <w:tc>
          <w:tcPr>
            <w:tcW w:w="2160" w:type="dxa"/>
          </w:tcPr>
          <w:p w14:paraId="5525796C">
            <w:pPr>
              <w:spacing w:after="0" w:line="240" w:lineRule="auto"/>
            </w:pPr>
            <w:r>
              <w:t>40%</w:t>
            </w:r>
          </w:p>
        </w:tc>
      </w:tr>
      <w:tr w14:paraId="1814CA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E6FC70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7E40C38B">
            <w:pPr>
              <w:spacing w:after="0" w:line="240" w:lineRule="auto"/>
            </w:pPr>
            <w:r>
              <w:t>河北专区</w:t>
            </w:r>
          </w:p>
        </w:tc>
        <w:tc>
          <w:tcPr>
            <w:tcW w:w="2160" w:type="dxa"/>
          </w:tcPr>
          <w:p w14:paraId="4D5AD064">
            <w:pPr>
              <w:spacing w:after="0" w:line="240" w:lineRule="auto"/>
            </w:pPr>
            <w:r>
              <w:t>60,000元</w:t>
            </w:r>
          </w:p>
        </w:tc>
        <w:tc>
          <w:tcPr>
            <w:tcW w:w="2160" w:type="dxa"/>
          </w:tcPr>
          <w:p w14:paraId="0D733B19">
            <w:pPr>
              <w:spacing w:after="0" w:line="240" w:lineRule="auto"/>
            </w:pPr>
            <w:r>
              <w:t>42%</w:t>
            </w:r>
          </w:p>
        </w:tc>
      </w:tr>
      <w:tr w14:paraId="136FA8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D5C12A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629FC22F">
            <w:pPr>
              <w:spacing w:after="0" w:line="240" w:lineRule="auto"/>
            </w:pPr>
            <w:r>
              <w:t>陕西专区</w:t>
            </w:r>
          </w:p>
        </w:tc>
        <w:tc>
          <w:tcPr>
            <w:tcW w:w="2160" w:type="dxa"/>
          </w:tcPr>
          <w:p w14:paraId="076D35F1">
            <w:pPr>
              <w:spacing w:after="0" w:line="240" w:lineRule="auto"/>
            </w:pPr>
            <w:r>
              <w:t>58,000元</w:t>
            </w:r>
          </w:p>
        </w:tc>
        <w:tc>
          <w:tcPr>
            <w:tcW w:w="2160" w:type="dxa"/>
          </w:tcPr>
          <w:p w14:paraId="0C58B4F7">
            <w:pPr>
              <w:spacing w:after="0" w:line="240" w:lineRule="auto"/>
            </w:pPr>
            <w:r>
              <w:t>50%</w:t>
            </w:r>
          </w:p>
        </w:tc>
      </w:tr>
    </w:tbl>
    <w:p w14:paraId="442C6314">
      <w:r>
        <w:br w:type="page"/>
      </w:r>
    </w:p>
    <w:p w14:paraId="1A03922C">
      <w:pPr>
        <w:pStyle w:val="4"/>
      </w:pPr>
      <w:r>
        <w:t>4.2 问题专区统计</w:t>
      </w:r>
    </w:p>
    <w:p w14:paraId="691F891D">
      <w:r>
        <w:t>【问题专区分布】</w:t>
      </w:r>
    </w:p>
    <w:p w14:paraId="41435C76">
      <w:pPr>
        <w:jc w:val="center"/>
      </w:pPr>
      <w:r>
        <w:drawing>
          <wp:inline distT="0" distB="0" distL="114300" distR="114300">
            <wp:extent cx="5486400" cy="3267710"/>
            <wp:effectExtent l="0" t="0" r="825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CC1D0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E57A1F">
            <w:pPr>
              <w:spacing w:after="0" w:line="240" w:lineRule="auto"/>
            </w:pPr>
            <w:r>
              <w:rPr>
                <w:b/>
              </w:rPr>
              <w:t>问题类型</w:t>
            </w:r>
          </w:p>
        </w:tc>
        <w:tc>
          <w:tcPr>
            <w:tcW w:w="2160" w:type="dxa"/>
          </w:tcPr>
          <w:p w14:paraId="140FC9CD">
            <w:pPr>
              <w:spacing w:after="0" w:line="240" w:lineRule="auto"/>
            </w:pPr>
            <w:r>
              <w:rPr>
                <w:b/>
              </w:rPr>
              <w:t>涉及专区数</w:t>
            </w:r>
          </w:p>
        </w:tc>
        <w:tc>
          <w:tcPr>
            <w:tcW w:w="2160" w:type="dxa"/>
          </w:tcPr>
          <w:p w14:paraId="79AAEA29">
            <w:pPr>
              <w:spacing w:after="0" w:line="240" w:lineRule="auto"/>
            </w:pPr>
            <w:r>
              <w:rPr>
                <w:b/>
              </w:rPr>
              <w:t>占比</w:t>
            </w:r>
          </w:p>
        </w:tc>
        <w:tc>
          <w:tcPr>
            <w:tcW w:w="2160" w:type="dxa"/>
          </w:tcPr>
          <w:p w14:paraId="3B77B1F5">
            <w:pPr>
              <w:spacing w:after="0" w:line="240" w:lineRule="auto"/>
            </w:pPr>
            <w:r>
              <w:rPr>
                <w:b/>
              </w:rPr>
              <w:t>预警等级</w:t>
            </w:r>
          </w:p>
        </w:tc>
      </w:tr>
      <w:tr w14:paraId="5B239F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CC0E9E">
            <w:pPr>
              <w:spacing w:after="0" w:line="240" w:lineRule="auto"/>
            </w:pPr>
            <w:r>
              <w:t>接入超时</w:t>
            </w:r>
          </w:p>
        </w:tc>
        <w:tc>
          <w:tcPr>
            <w:tcW w:w="2160" w:type="dxa"/>
          </w:tcPr>
          <w:p w14:paraId="513796F5">
            <w:pPr>
              <w:spacing w:after="0" w:line="240" w:lineRule="auto"/>
            </w:pPr>
            <w:r>
              <w:t>5个</w:t>
            </w:r>
          </w:p>
        </w:tc>
        <w:tc>
          <w:tcPr>
            <w:tcW w:w="2160" w:type="dxa"/>
          </w:tcPr>
          <w:p w14:paraId="101492DD">
            <w:pPr>
              <w:spacing w:after="0" w:line="240" w:lineRule="auto"/>
            </w:pPr>
            <w:r>
              <w:t>26%</w:t>
            </w:r>
          </w:p>
        </w:tc>
        <w:tc>
          <w:tcPr>
            <w:tcW w:w="2160" w:type="dxa"/>
          </w:tcPr>
          <w:p w14:paraId="6BE0906D">
            <w:pPr>
              <w:spacing w:after="0" w:line="240" w:lineRule="auto"/>
            </w:pPr>
            <w:r>
              <w:t>黄色</w:t>
            </w:r>
          </w:p>
        </w:tc>
      </w:tr>
      <w:tr w14:paraId="731275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D0E527">
            <w:pPr>
              <w:spacing w:after="0" w:line="240" w:lineRule="auto"/>
            </w:pPr>
            <w:r>
              <w:t>上线后项目数不达标</w:t>
            </w:r>
          </w:p>
        </w:tc>
        <w:tc>
          <w:tcPr>
            <w:tcW w:w="2160" w:type="dxa"/>
          </w:tcPr>
          <w:p w14:paraId="27368E91">
            <w:pPr>
              <w:spacing w:after="0" w:line="240" w:lineRule="auto"/>
            </w:pPr>
            <w:r>
              <w:t>3个</w:t>
            </w:r>
          </w:p>
        </w:tc>
        <w:tc>
          <w:tcPr>
            <w:tcW w:w="2160" w:type="dxa"/>
          </w:tcPr>
          <w:p w14:paraId="2CC9FE1A">
            <w:pPr>
              <w:spacing w:after="0" w:line="240" w:lineRule="auto"/>
            </w:pPr>
            <w:r>
              <w:t>16%</w:t>
            </w:r>
          </w:p>
        </w:tc>
        <w:tc>
          <w:tcPr>
            <w:tcW w:w="2160" w:type="dxa"/>
          </w:tcPr>
          <w:p w14:paraId="65F2D887">
            <w:pPr>
              <w:spacing w:after="0" w:line="240" w:lineRule="auto"/>
            </w:pPr>
            <w:r>
              <w:t>橙色</w:t>
            </w:r>
          </w:p>
        </w:tc>
      </w:tr>
      <w:tr w14:paraId="257C9F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A49152">
            <w:pPr>
              <w:spacing w:after="0" w:line="240" w:lineRule="auto"/>
            </w:pPr>
            <w:r>
              <w:t>上线后收益不达标</w:t>
            </w:r>
          </w:p>
        </w:tc>
        <w:tc>
          <w:tcPr>
            <w:tcW w:w="2160" w:type="dxa"/>
          </w:tcPr>
          <w:p w14:paraId="0B7D784C">
            <w:pPr>
              <w:spacing w:after="0" w:line="240" w:lineRule="auto"/>
            </w:pPr>
            <w:r>
              <w:t>4个</w:t>
            </w:r>
          </w:p>
        </w:tc>
        <w:tc>
          <w:tcPr>
            <w:tcW w:w="2160" w:type="dxa"/>
          </w:tcPr>
          <w:p w14:paraId="291AB5E2">
            <w:pPr>
              <w:spacing w:after="0" w:line="240" w:lineRule="auto"/>
            </w:pPr>
            <w:r>
              <w:t>21%</w:t>
            </w:r>
          </w:p>
        </w:tc>
        <w:tc>
          <w:tcPr>
            <w:tcW w:w="2160" w:type="dxa"/>
          </w:tcPr>
          <w:p w14:paraId="4765B552">
            <w:pPr>
              <w:spacing w:after="0" w:line="240" w:lineRule="auto"/>
            </w:pPr>
            <w:r>
              <w:t>橙色</w:t>
            </w:r>
          </w:p>
        </w:tc>
      </w:tr>
      <w:tr w14:paraId="727D2E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DFB0EF">
            <w:pPr>
              <w:spacing w:after="0" w:line="240" w:lineRule="auto"/>
            </w:pPr>
            <w:r>
              <w:t>成本管控问题</w:t>
            </w:r>
          </w:p>
        </w:tc>
        <w:tc>
          <w:tcPr>
            <w:tcW w:w="2160" w:type="dxa"/>
          </w:tcPr>
          <w:p w14:paraId="48B301AD">
            <w:pPr>
              <w:spacing w:after="0" w:line="240" w:lineRule="auto"/>
            </w:pPr>
            <w:r>
              <w:t>4个</w:t>
            </w:r>
          </w:p>
        </w:tc>
        <w:tc>
          <w:tcPr>
            <w:tcW w:w="2160" w:type="dxa"/>
          </w:tcPr>
          <w:p w14:paraId="3F568D2E">
            <w:pPr>
              <w:spacing w:after="0" w:line="240" w:lineRule="auto"/>
            </w:pPr>
            <w:r>
              <w:t>21%</w:t>
            </w:r>
          </w:p>
        </w:tc>
        <w:tc>
          <w:tcPr>
            <w:tcW w:w="2160" w:type="dxa"/>
          </w:tcPr>
          <w:p w14:paraId="1ECE770F">
            <w:pPr>
              <w:spacing w:after="0" w:line="240" w:lineRule="auto"/>
            </w:pPr>
            <w:r>
              <w:t>红色</w:t>
            </w:r>
          </w:p>
        </w:tc>
      </w:tr>
    </w:tbl>
    <w:p w14:paraId="7EB4424B">
      <w:r>
        <w:br w:type="page"/>
      </w:r>
    </w:p>
    <w:p w14:paraId="7ECDF7D0">
      <w:pPr>
        <w:pStyle w:val="3"/>
      </w:pPr>
      <w:r>
        <w:t>五、数据分析与洞察</w:t>
      </w:r>
    </w:p>
    <w:p w14:paraId="0C4EC3C8">
      <w:pPr>
        <w:pStyle w:val="4"/>
      </w:pPr>
      <w:r>
        <w:t>5.1 成本分析</w:t>
      </w:r>
    </w:p>
    <w:p w14:paraId="2DBBE353">
      <w:r>
        <w:rPr>
          <w:b/>
        </w:rPr>
        <w:t>• 上线前平均成本：</w:t>
      </w:r>
      <w:r>
        <w:t>29,600元（基线：32,000元）</w:t>
      </w:r>
      <w:r>
        <w:br w:type="textWrapping"/>
      </w:r>
      <w:r>
        <w:rPr>
          <w:b/>
        </w:rPr>
        <w:t>• 成本超标专区：</w:t>
      </w:r>
      <w:r>
        <w:t>4个（占比21%）</w:t>
      </w:r>
      <w:r>
        <w:br w:type="textWrapping"/>
      </w:r>
      <w:r>
        <w:rPr>
          <w:b/>
        </w:rPr>
        <w:t>• 成本率超标专区：</w:t>
      </w:r>
      <w:r>
        <w:t>4个（占比21%）</w:t>
      </w:r>
      <w:r>
        <w:br w:type="textWrapping"/>
      </w:r>
      <w:r>
        <w:rPr>
          <w:b/>
        </w:rPr>
        <w:t>• 成本率分布：</w:t>
      </w:r>
      <w:r>
        <w:rPr>
          <w:b/>
        </w:rPr>
        <w:br w:type="textWrapping"/>
      </w:r>
      <w:r>
        <w:t xml:space="preserve">  - &lt;58%（健康）：5个（50%）</w:t>
      </w:r>
      <w:r>
        <w:br w:type="textWrapping"/>
      </w:r>
      <w:r>
        <w:t xml:space="preserve">  - 58%-65%（预警）：1个（10%）</w:t>
      </w:r>
      <w:r>
        <w:br w:type="textWrapping"/>
      </w:r>
      <w:r>
        <w:t xml:space="preserve">  - &gt;65%（超标）：4个（40%）</w:t>
      </w:r>
    </w:p>
    <w:p w14:paraId="2E1DC870">
      <w:pPr>
        <w:pStyle w:val="4"/>
      </w:pPr>
      <w:r>
        <w:t>5.2 收益分析</w:t>
      </w:r>
    </w:p>
    <w:p w14:paraId="55F42885">
      <w:r>
        <w:rPr>
          <w:b/>
        </w:rPr>
        <w:t>• 平均单专区收益：</w:t>
      </w:r>
      <w:r>
        <w:t>3,486元</w:t>
      </w:r>
      <w:r>
        <w:br w:type="textWrapping"/>
      </w:r>
      <w:r>
        <w:rPr>
          <w:b/>
        </w:rPr>
        <w:t>• 收益达标率：</w:t>
      </w:r>
      <w:r>
        <w:t>60%</w:t>
      </w:r>
      <w:r>
        <w:br w:type="textWrapping"/>
      </w:r>
      <w:r>
        <w:rPr>
          <w:b/>
        </w:rPr>
        <w:t>• TOP3收益专区：</w:t>
      </w:r>
      <w:r>
        <w:t>宁夏、河北、陕西</w:t>
      </w:r>
    </w:p>
    <w:p w14:paraId="28394945">
      <w:pPr>
        <w:pStyle w:val="4"/>
      </w:pPr>
      <w:r>
        <w:t>5.3 问题分析</w:t>
      </w:r>
    </w:p>
    <w:p w14:paraId="01A0A0A7">
      <w:r>
        <w:rPr>
          <w:b/>
        </w:rPr>
        <w:t>• 接入超时主要原因：</w:t>
      </w:r>
      <w:r>
        <w:t>客户配合度低、系统对接复杂</w:t>
      </w:r>
      <w:r>
        <w:br w:type="textWrapping"/>
      </w:r>
      <w:r>
        <w:rPr>
          <w:b/>
        </w:rPr>
        <w:t>• 收益不达标主要原因：</w:t>
      </w:r>
      <w:r>
        <w:t>市场竞争激烈、推广力度不足</w:t>
      </w:r>
      <w:r>
        <w:br w:type="textWrapping"/>
      </w:r>
      <w:r>
        <w:rPr>
          <w:b/>
        </w:rPr>
        <w:t>• 成本超标主要原因：</w:t>
      </w:r>
      <w:r>
        <w:t>需求变更频繁、实施周期延长</w:t>
      </w:r>
    </w:p>
    <w:p w14:paraId="77F1338F">
      <w:pPr>
        <w:pStyle w:val="4"/>
      </w:pPr>
      <w:r>
        <w:t>5.4 趋势预测</w:t>
      </w:r>
    </w:p>
    <w:p w14:paraId="1FE2FFC1">
      <w:r>
        <w:t>基于当前数据，预计下季度：</w:t>
      </w:r>
      <w:r>
        <w:br w:type="textWrapping"/>
      </w:r>
      <w:r>
        <w:t>• 收益将持续增长，预计累计收益突破10万元</w:t>
      </w:r>
      <w:r>
        <w:br w:type="textWrapping"/>
      </w:r>
      <w:r>
        <w:t>• 成本率将逐步下降，更多专区进入健康区间</w:t>
      </w:r>
      <w:r>
        <w:br w:type="textWrapping"/>
      </w:r>
      <w:r>
        <w:t>• 问题专区数量将减少，运营质量持续提升</w:t>
      </w:r>
    </w:p>
    <w:p w14:paraId="4B6CE85E">
      <w:r>
        <w:br w:type="page"/>
      </w:r>
    </w:p>
    <w:p w14:paraId="7586E72F">
      <w:pPr>
        <w:pStyle w:val="3"/>
      </w:pPr>
      <w:r>
        <w:t>六、重点工作规划</w:t>
      </w:r>
    </w:p>
    <w:p w14:paraId="4CD144B1">
      <w:pPr>
        <w:pStyle w:val="4"/>
      </w:pPr>
      <w:r>
        <w:t>6.1 僵尸专区下线处理</w:t>
      </w:r>
    </w:p>
    <w:p w14:paraId="73A0A206">
      <w:r>
        <w:t>责任人：XXX</w:t>
      </w:r>
      <w:r>
        <w:br w:type="textWrapping"/>
      </w:r>
      <w:r>
        <w:t>完成时间：2026年4月15日</w:t>
      </w:r>
      <w:r>
        <w:br w:type="textWrapping"/>
      </w:r>
      <w:r>
        <w:t>涉及专区：XXX、XXX</w:t>
      </w:r>
      <w:r>
        <w:br w:type="textWrapping"/>
      </w:r>
      <w:r>
        <w:t>下线标准：上线超6个月且累计有效项目数=0</w:t>
      </w:r>
      <w:r>
        <w:br w:type="textWrapping"/>
      </w:r>
      <w:r>
        <w:t>处理流程：数据备份 → 客户通知 → 系统下线 → 资源释放</w:t>
      </w:r>
    </w:p>
    <w:p w14:paraId="7291BC33">
      <w:pPr>
        <w:pStyle w:val="4"/>
      </w:pPr>
      <w:r>
        <w:t>6.2 上量潜力专区上量工作</w:t>
      </w:r>
    </w:p>
    <w:p w14:paraId="5794E3F9">
      <w:r>
        <w:t>责任人：XXX</w:t>
      </w:r>
      <w:r>
        <w:br w:type="textWrapping"/>
      </w:r>
      <w:r>
        <w:t>完成时间：2026年4月30日</w:t>
      </w:r>
      <w:r>
        <w:br w:type="textWrapping"/>
      </w:r>
      <w:r>
        <w:t>潜力专区清单：宁夏、河北</w:t>
      </w:r>
      <w:r>
        <w:br w:type="textWrapping"/>
      </w:r>
      <w:r>
        <w:t>上量措施：</w:t>
      </w:r>
      <w:r>
        <w:br w:type="textWrapping"/>
      </w:r>
      <w:r>
        <w:t>• 增加推广资源投入</w:t>
      </w:r>
      <w:r>
        <w:br w:type="textWrapping"/>
      </w:r>
      <w:r>
        <w:t>• 优化用户体验</w:t>
      </w:r>
      <w:r>
        <w:br w:type="textWrapping"/>
      </w:r>
      <w:r>
        <w:t>• 开展营销活动</w:t>
      </w:r>
      <w:r>
        <w:br w:type="textWrapping"/>
      </w:r>
      <w:r>
        <w:t>目标收益：宁夏突破8万元，河北突破7万元</w:t>
      </w:r>
    </w:p>
    <w:p w14:paraId="08932BC0">
      <w:pPr>
        <w:pStyle w:val="4"/>
      </w:pPr>
      <w:r>
        <w:t>6.3 成本管控问题专区分析</w:t>
      </w:r>
    </w:p>
    <w:p w14:paraId="6757E80A">
      <w:r>
        <w:t>责任人：XXX</w:t>
      </w:r>
      <w:r>
        <w:br w:type="textWrapping"/>
      </w:r>
      <w:r>
        <w:t>完成时间：2026年4月30日</w:t>
      </w:r>
      <w:r>
        <w:br w:type="textWrapping"/>
      </w:r>
      <w:r>
        <w:t>问题专区清单：北京、湖北、山西、甘肃</w:t>
      </w:r>
      <w:r>
        <w:br w:type="textWrapping"/>
      </w:r>
      <w:r>
        <w:t>成本复盘计划：</w:t>
      </w:r>
      <w:r>
        <w:br w:type="textWrapping"/>
      </w:r>
      <w:r>
        <w:t>• 分析成本构成</w:t>
      </w:r>
      <w:r>
        <w:br w:type="textWrapping"/>
      </w:r>
      <w:r>
        <w:t>• 识别超支原因</w:t>
      </w:r>
      <w:r>
        <w:br w:type="textWrapping"/>
      </w:r>
      <w:r>
        <w:t>• 制定控制措施</w:t>
      </w:r>
      <w:r>
        <w:br w:type="textWrapping"/>
      </w:r>
      <w:r>
        <w:t>成本控制措施：</w:t>
      </w:r>
      <w:r>
        <w:br w:type="textWrapping"/>
      </w:r>
      <w:r>
        <w:t>• 严格需求变更管理</w:t>
      </w:r>
      <w:r>
        <w:br w:type="textWrapping"/>
      </w:r>
      <w:r>
        <w:t>• 优化实施流程</w:t>
      </w:r>
      <w:r>
        <w:br w:type="textWrapping"/>
      </w:r>
      <w:r>
        <w:t>• 加强进度监控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635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540</Words>
  <Characters>658</Characters>
  <Lines>0</Lines>
  <Paragraphs>0</Paragraphs>
  <TotalTime>11</TotalTime>
  <ScaleCrop>false</ScaleCrop>
  <LinksUpToDate>false</LinksUpToDate>
  <CharactersWithSpaces>665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陈海勇</cp:lastModifiedBy>
  <dcterms:modified xsi:type="dcterms:W3CDTF">2026-03-30T09:42:14Z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eyJoZGlkIjoiOWQ4NzQ2NDA2Mjk4MzBjMjFlZDk1ZWU3MWU0M2U3MTgiLCJ1c2VySWQiOiI0MjIzNjk0MzYifQ==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7AF06016F5404FA2BAB407D00F082771_12</vt:lpwstr>
  </property>
</Properties>
</file>