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2">
      <w:pPr>
        <w:spacing w:line="276" w:lineRule="auto"/>
        <w:jc w:val="center"/>
        <w:rPr>
          <w:b w:val="1"/>
          <w:sz w:val="28"/>
          <w:szCs w:val="28"/>
        </w:rPr>
      </w:pPr>
      <w:r w:rsidDel="00000000" w:rsidR="00000000" w:rsidRPr="00000000">
        <w:rPr>
          <w:b w:val="1"/>
          <w:sz w:val="28"/>
          <w:szCs w:val="28"/>
          <w:rtl w:val="0"/>
        </w:rPr>
        <w:t xml:space="preserve">M</w:t>
      </w:r>
      <w:r w:rsidDel="00000000" w:rsidR="00000000" w:rsidRPr="00000000">
        <w:rPr>
          <w:b w:val="1"/>
          <w:sz w:val="28"/>
          <w:szCs w:val="28"/>
          <w:rtl w:val="0"/>
        </w:rPr>
        <w:t xml:space="preserve">ULTILATERAL INTEROPERABILITY PROGRAMME (MIP)</w:t>
      </w:r>
    </w:p>
    <w:p w:rsidR="00000000" w:rsidDel="00000000" w:rsidP="00000000" w:rsidRDefault="00000000" w:rsidRPr="00000000" w14:paraId="00000003">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4">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Pr>
        <w:drawing>
          <wp:inline distB="19050" distT="19050" distL="19050" distR="19050">
            <wp:extent cx="4562475" cy="2105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624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spacing w:line="276" w:lineRule="auto"/>
        <w:jc w:val="center"/>
        <w:rPr>
          <w:b w:val="1"/>
          <w:sz w:val="28"/>
          <w:szCs w:val="28"/>
        </w:rPr>
      </w:pPr>
      <w:r w:rsidDel="00000000" w:rsidR="00000000" w:rsidRPr="00000000">
        <w:rPr>
          <w:b w:val="1"/>
          <w:sz w:val="28"/>
          <w:szCs w:val="28"/>
          <w:rtl w:val="0"/>
        </w:rPr>
        <w:t xml:space="preserve">MIP4 Information Exchange Specification (MIP4-IES)</w:t>
      </w:r>
    </w:p>
    <w:p w:rsidR="00000000" w:rsidDel="00000000" w:rsidP="00000000" w:rsidRDefault="00000000" w:rsidRPr="00000000" w14:paraId="00000009">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A">
      <w:pPr>
        <w:spacing w:line="276" w:lineRule="auto"/>
        <w:jc w:val="center"/>
        <w:rPr>
          <w:b w:val="1"/>
          <w:sz w:val="28"/>
          <w:szCs w:val="28"/>
        </w:rPr>
      </w:pPr>
      <w:r w:rsidDel="00000000" w:rsidR="00000000" w:rsidRPr="00000000">
        <w:rPr>
          <w:b w:val="1"/>
          <w:sz w:val="28"/>
          <w:szCs w:val="28"/>
          <w:rtl w:val="0"/>
        </w:rPr>
        <w:t xml:space="preserve">Guidelines of Mapping between MIP4 IES and APP-11 </w:t>
      </w:r>
      <w:r w:rsidDel="00000000" w:rsidR="00000000" w:rsidRPr="00000000">
        <w:rPr>
          <w:b w:val="1"/>
          <w:sz w:val="28"/>
          <w:szCs w:val="28"/>
          <w:rtl w:val="0"/>
        </w:rPr>
        <w:t xml:space="preserve">Messages</w:t>
      </w:r>
      <w:r w:rsidDel="00000000" w:rsidR="00000000" w:rsidRPr="00000000">
        <w:rPr>
          <w:rtl w:val="0"/>
        </w:rPr>
      </w:r>
    </w:p>
    <w:p w:rsidR="00000000" w:rsidDel="00000000" w:rsidP="00000000" w:rsidRDefault="00000000" w:rsidRPr="00000000" w14:paraId="0000000B">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C">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D">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11 Feb 2021</w:t>
      </w:r>
    </w:p>
    <w:p w:rsidR="00000000" w:rsidDel="00000000" w:rsidP="00000000" w:rsidRDefault="00000000" w:rsidRPr="00000000" w14:paraId="00000010">
      <w:pPr>
        <w:spacing w:line="276" w:lineRule="auto"/>
        <w:rPr>
          <w:b w:val="1"/>
          <w:sz w:val="28"/>
          <w:szCs w:val="28"/>
        </w:rPr>
      </w:pPr>
      <w:r w:rsidDel="00000000" w:rsidR="00000000" w:rsidRPr="00000000">
        <w:rPr>
          <w:rtl w:val="0"/>
        </w:rPr>
        <w:t xml:space="preserve">This document is a supplementary set of guidelines to MIP4-IES.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200" w:line="276" w:lineRule="auto"/>
        <w:jc w:val="center"/>
        <w:rPr>
          <w:b w:val="1"/>
        </w:rPr>
      </w:pPr>
      <w:r w:rsidDel="00000000" w:rsidR="00000000" w:rsidRPr="00000000">
        <w:rPr>
          <w:b w:val="1"/>
          <w:rtl w:val="0"/>
        </w:rPr>
        <w:t xml:space="preserve">DOCUMENT CONTROL</w:t>
      </w:r>
    </w:p>
    <w:p w:rsidR="00000000" w:rsidDel="00000000" w:rsidP="00000000" w:rsidRDefault="00000000" w:rsidRPr="00000000" w14:paraId="00000014">
      <w:pPr>
        <w:spacing w:after="200" w:line="276" w:lineRule="auto"/>
        <w:jc w:val="center"/>
        <w:rPr>
          <w:b w:val="1"/>
        </w:rPr>
      </w:pPr>
      <w:r w:rsidDel="00000000" w:rsidR="00000000" w:rsidRPr="00000000">
        <w:rPr>
          <w:b w:val="1"/>
          <w:rtl w:val="0"/>
        </w:rPr>
        <w:t xml:space="preserve">Change Management</w:t>
      </w:r>
    </w:p>
    <w:tbl>
      <w:tblPr>
        <w:tblStyle w:val="Table1"/>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30"/>
        <w:tblGridChange w:id="0">
          <w:tblGrid>
            <w:gridCol w:w="2700"/>
            <w:gridCol w:w="6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Change Control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MIP Integrated Product Team 4 (IPT4) Change Manager, webmaster@mip-interop.org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Release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MIP Program Management Group (PMG), pmgchair@mip-interop.org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Latest Public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hyperlink r:id="rId7">
              <w:r w:rsidDel="00000000" w:rsidR="00000000" w:rsidRPr="00000000">
                <w:rPr>
                  <w:color w:val="1155cc"/>
                  <w:u w:val="single"/>
                  <w:rtl w:val="0"/>
                </w:rPr>
                <w:t xml:space="preserve">www.mip-interop.org</w:t>
              </w:r>
            </w:hyperlink>
            <w:r w:rsidDel="00000000" w:rsidR="00000000" w:rsidRPr="00000000">
              <w:rPr>
                <w:rtl w:val="0"/>
              </w:rPr>
              <w:t xml:space="preserve"> | Public Document Library | 07-MIP4-IES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Latest MIP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hyperlink r:id="rId8">
              <w:r w:rsidDel="00000000" w:rsidR="00000000" w:rsidRPr="00000000">
                <w:rPr>
                  <w:color w:val="1155cc"/>
                  <w:u w:val="single"/>
                  <w:rtl w:val="0"/>
                </w:rPr>
                <w:t xml:space="preserve">www.mip-interop.org</w:t>
              </w:r>
            </w:hyperlink>
            <w:r w:rsidDel="00000000" w:rsidR="00000000" w:rsidRPr="00000000">
              <w:rPr>
                <w:rtl w:val="0"/>
              </w:rPr>
              <w:t xml:space="preserve"> | Members Only site | Documents | 04 IPT-4 (account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Current Working Draft (for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hyperlink r:id="rId9">
              <w:r w:rsidDel="00000000" w:rsidR="00000000" w:rsidRPr="00000000">
                <w:rPr>
                  <w:color w:val="1155cc"/>
                  <w:u w:val="single"/>
                  <w:rtl w:val="0"/>
                </w:rPr>
                <w:t xml:space="preserve">MIP4-IES Collaborative Environment</w:t>
              </w:r>
            </w:hyperlink>
            <w:r w:rsidDel="00000000" w:rsidR="00000000" w:rsidRPr="00000000">
              <w:rPr>
                <w:rtl w:val="0"/>
              </w:rPr>
              <w:t xml:space="preserve"> (account required)</w:t>
            </w:r>
          </w:p>
        </w:tc>
      </w:tr>
    </w:tbl>
    <w:p w:rsidR="00000000" w:rsidDel="00000000" w:rsidP="00000000" w:rsidRDefault="00000000" w:rsidRPr="00000000" w14:paraId="0000001F">
      <w:pPr>
        <w:spacing w:after="200" w:line="276" w:lineRule="auto"/>
        <w:jc w:val="center"/>
        <w:rPr/>
      </w:pPr>
      <w:r w:rsidDel="00000000" w:rsidR="00000000" w:rsidRPr="00000000">
        <w:rPr>
          <w:b w:val="1"/>
          <w:rtl w:val="0"/>
        </w:rPr>
        <w:br w:type="textWrapping"/>
      </w:r>
      <w:r w:rsidDel="00000000" w:rsidR="00000000" w:rsidRPr="00000000">
        <w:rPr>
          <w:b w:val="1"/>
          <w:rtl w:val="0"/>
        </w:rPr>
        <w:t xml:space="preserve">Version History</w:t>
      </w:r>
      <w:r w:rsidDel="00000000" w:rsidR="00000000" w:rsidRPr="00000000">
        <w:rPr>
          <w:b w:val="1"/>
          <w:rtl w:val="0"/>
        </w:rPr>
        <w:t xml:space="preserve"> </w:t>
      </w:r>
      <w:r w:rsidDel="00000000" w:rsidR="00000000" w:rsidRPr="00000000">
        <w:rPr>
          <w:rtl w:val="0"/>
        </w:rPr>
        <w:t xml:space="preser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215"/>
        <w:gridCol w:w="1725"/>
        <w:gridCol w:w="5205"/>
        <w:tblGridChange w:id="0">
          <w:tblGrid>
            <w:gridCol w:w="1215"/>
            <w:gridCol w:w="1215"/>
            <w:gridCol w:w="1725"/>
            <w:gridCol w:w="5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76" w:lineRule="auto"/>
              <w:jc w:val="center"/>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76" w:lineRule="auto"/>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76" w:lineRule="auto"/>
              <w:jc w:val="center"/>
              <w:rPr>
                <w:b w:val="1"/>
              </w:rPr>
            </w:pPr>
            <w:r w:rsidDel="00000000" w:rsidR="00000000" w:rsidRPr="00000000">
              <w:rPr>
                <w:b w:val="1"/>
                <w:rtl w:val="0"/>
              </w:rPr>
              <w:t xml:space="preserve">Reason for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76" w:lineRule="auto"/>
              <w:jc w:val="center"/>
              <w:rPr/>
            </w:pPr>
            <w:r w:rsidDel="00000000" w:rsidR="00000000" w:rsidRPr="00000000">
              <w:rPr>
                <w:rtl w:val="0"/>
              </w:rPr>
              <w:t xml:space="preserve">Peter Hansen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76" w:lineRule="auto"/>
              <w:jc w:val="center"/>
              <w:rPr/>
            </w:pPr>
            <w:r w:rsidDel="00000000" w:rsidR="00000000" w:rsidRPr="00000000">
              <w:rPr>
                <w:rtl w:val="0"/>
              </w:rPr>
              <w:t xml:space="preserve">Feb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76" w:lineRule="auto"/>
              <w:rPr/>
            </w:pPr>
            <w:r w:rsidDel="00000000" w:rsidR="00000000" w:rsidRPr="00000000">
              <w:rPr>
                <w:rtl w:val="0"/>
              </w:rPr>
              <w:t xml:space="preserve">Initial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76"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76"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76"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76"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76"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76"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76"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76"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76"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76"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76"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76" w:lineRule="auto"/>
              <w:rPr/>
            </w:pPr>
            <w:r w:rsidDel="00000000" w:rsidR="00000000" w:rsidRPr="00000000">
              <w:rPr>
                <w:rtl w:val="0"/>
              </w:rPr>
            </w:r>
          </w:p>
        </w:tc>
      </w:tr>
    </w:tbl>
    <w:p w:rsidR="00000000" w:rsidDel="00000000" w:rsidP="00000000" w:rsidRDefault="00000000" w:rsidRPr="00000000" w14:paraId="00000034">
      <w:pPr>
        <w:spacing w:after="200" w:line="276" w:lineRule="auto"/>
        <w:jc w:val="center"/>
        <w:rPr>
          <w:highlight w:val="green"/>
        </w:rPr>
      </w:pPr>
      <w:r w:rsidDel="00000000" w:rsidR="00000000" w:rsidRPr="00000000">
        <w:rPr>
          <w:highlight w:val="green"/>
          <w:rtl w:val="0"/>
        </w:rPr>
        <w:t xml:space="preserve"> </w:t>
      </w:r>
    </w:p>
    <w:p w:rsidR="00000000" w:rsidDel="00000000" w:rsidP="00000000" w:rsidRDefault="00000000" w:rsidRPr="00000000" w14:paraId="00000035">
      <w:pPr>
        <w:rPr/>
      </w:pPr>
      <w:r w:rsidDel="00000000" w:rsidR="00000000" w:rsidRPr="00000000">
        <w:rPr>
          <w:b w:val="1"/>
          <w:highlight w:val="green"/>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6">
      <w:pPr>
        <w:spacing w:after="200" w:line="276" w:lineRule="auto"/>
        <w:jc w:val="center"/>
        <w:rPr>
          <w:b w:val="1"/>
          <w:sz w:val="36"/>
          <w:szCs w:val="36"/>
        </w:rPr>
      </w:pPr>
      <w:r w:rsidDel="00000000" w:rsidR="00000000" w:rsidRPr="00000000">
        <w:rPr>
          <w:b w:val="1"/>
          <w:sz w:val="36"/>
          <w:szCs w:val="36"/>
          <w:rtl w:val="0"/>
        </w:rPr>
        <w:t xml:space="preserve">Table of Contents</w:t>
      </w:r>
      <w:r w:rsidDel="00000000" w:rsidR="00000000" w:rsidRPr="00000000">
        <w:rPr>
          <w:rtl w:val="0"/>
        </w:rPr>
      </w:r>
    </w:p>
    <w:p w:rsidR="00000000" w:rsidDel="00000000" w:rsidP="00000000" w:rsidRDefault="00000000" w:rsidRPr="00000000" w14:paraId="00000037">
      <w:pPr>
        <w:spacing w:after="200" w:line="276" w:lineRule="auto"/>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spacing w:before="80" w:line="240" w:lineRule="auto"/>
            <w:ind w:left="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r w:rsidDel="00000000" w:rsidR="00000000" w:rsidRPr="00000000">
            <w:fldChar w:fldCharType="begin"/>
            <w:instrText xml:space="preserve"> TOC \h \u \z \n </w:instrText>
            <w:fldChar w:fldCharType="separate"/>
          </w:r>
          <w:hyperlink w:anchor="_6062ou3evfq0">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39">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isqr20p9vkh">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1.1 Purpose</w:t>
            </w:r>
          </w:hyperlink>
          <w:r w:rsidDel="00000000" w:rsidR="00000000" w:rsidRPr="00000000">
            <w:rPr>
              <w:rtl w:val="0"/>
            </w:rPr>
          </w:r>
        </w:p>
        <w:p w:rsidR="00000000" w:rsidDel="00000000" w:rsidP="00000000" w:rsidRDefault="00000000" w:rsidRPr="00000000" w14:paraId="0000003A">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ixrovhfa1c1u">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1.2 Scope</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g20hr9eqqe5l">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1.3 Target Audience</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2p7pvqw156v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2 APP-11D(1) OWNSITREP</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kvnmus1y0t9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2.1 Major Differences between MIP4-IES and OWNSITREP</w:t>
            </w:r>
          </w:hyperlink>
          <w:r w:rsidDel="00000000" w:rsidR="00000000" w:rsidRPr="00000000">
            <w:rPr>
              <w:rtl w:val="0"/>
            </w:rPr>
          </w:r>
        </w:p>
        <w:p w:rsidR="00000000" w:rsidDel="00000000" w:rsidP="00000000" w:rsidRDefault="00000000" w:rsidRPr="00000000" w14:paraId="0000003E">
          <w:pPr>
            <w:spacing w:after="80" w:before="200" w:line="240" w:lineRule="auto"/>
            <w:ind w:left="0" w:firstLine="0"/>
            <w:rPr>
              <w:color w:val="1155cc"/>
              <w:u w:val="single"/>
            </w:rPr>
          </w:pPr>
          <w:hyperlink w:anchor="_b2pymfshzuak">
            <w:r w:rsidDel="00000000" w:rsidR="00000000" w:rsidRPr="00000000">
              <w:rPr>
                <w:color w:val="1155cc"/>
                <w:u w:val="single"/>
                <w:rtl w:val="0"/>
              </w:rPr>
              <w:t xml:space="preserve">2.2 Comparison Table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spacing w:after="200" w:line="276" w:lineRule="auto"/>
        <w:rPr>
          <w:b w:val="1"/>
          <w:sz w:val="36"/>
          <w:szCs w:val="36"/>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spacing w:after="120" w:before="480" w:line="276" w:lineRule="auto"/>
        <w:ind w:left="0"/>
        <w:rPr>
          <w:rFonts w:ascii="Arial" w:cs="Arial" w:eastAsia="Arial" w:hAnsi="Arial"/>
          <w:sz w:val="36"/>
          <w:szCs w:val="36"/>
        </w:rPr>
      </w:pPr>
      <w:bookmarkStart w:colFirst="0" w:colLast="0" w:name="_6062ou3evfq0" w:id="0"/>
      <w:bookmarkEnd w:id="0"/>
      <w:r w:rsidDel="00000000" w:rsidR="00000000" w:rsidRPr="00000000">
        <w:rPr>
          <w:rFonts w:ascii="Arial" w:cs="Arial" w:eastAsia="Arial" w:hAnsi="Arial"/>
          <w:sz w:val="36"/>
          <w:szCs w:val="36"/>
          <w:rtl w:val="0"/>
        </w:rPr>
        <w:t xml:space="preserve">1 Introduction</w:t>
      </w:r>
    </w:p>
    <w:p w:rsidR="00000000" w:rsidDel="00000000" w:rsidP="00000000" w:rsidRDefault="00000000" w:rsidRPr="00000000" w14:paraId="00000043">
      <w:pPr>
        <w:pStyle w:val="Heading2"/>
        <w:spacing w:after="80" w:before="360" w:line="276" w:lineRule="auto"/>
        <w:ind w:left="0"/>
        <w:rPr>
          <w:rFonts w:ascii="Arial" w:cs="Arial" w:eastAsia="Arial" w:hAnsi="Arial"/>
          <w:sz w:val="28"/>
          <w:szCs w:val="28"/>
        </w:rPr>
      </w:pPr>
      <w:bookmarkStart w:colFirst="0" w:colLast="0" w:name="_isqr20p9vkh" w:id="1"/>
      <w:bookmarkEnd w:id="1"/>
      <w:r w:rsidDel="00000000" w:rsidR="00000000" w:rsidRPr="00000000">
        <w:rPr>
          <w:rFonts w:ascii="Arial" w:cs="Arial" w:eastAsia="Arial" w:hAnsi="Arial"/>
          <w:sz w:val="28"/>
          <w:szCs w:val="28"/>
          <w:rtl w:val="0"/>
        </w:rPr>
        <w:t xml:space="preserve">1.1 Purpose</w:t>
      </w:r>
    </w:p>
    <w:p w:rsidR="00000000" w:rsidDel="00000000" w:rsidP="00000000" w:rsidRDefault="00000000" w:rsidRPr="00000000" w14:paraId="00000044">
      <w:pPr>
        <w:spacing w:after="200" w:line="276" w:lineRule="auto"/>
        <w:rPr>
          <w:rFonts w:ascii="Arial" w:cs="Arial" w:eastAsia="Arial" w:hAnsi="Arial"/>
        </w:rPr>
      </w:pPr>
      <w:r w:rsidDel="00000000" w:rsidR="00000000" w:rsidRPr="00000000">
        <w:rPr>
          <w:rFonts w:ascii="Arial" w:cs="Arial" w:eastAsia="Arial" w:hAnsi="Arial"/>
          <w:rtl w:val="0"/>
        </w:rPr>
        <w:t xml:space="preserve">To document how MIP4-IES covers the semantics of selected APP-11 message types.</w:t>
      </w:r>
      <w:r w:rsidDel="00000000" w:rsidR="00000000" w:rsidRPr="00000000">
        <w:rPr>
          <w:rtl w:val="0"/>
        </w:rPr>
      </w:r>
    </w:p>
    <w:p w:rsidR="00000000" w:rsidDel="00000000" w:rsidP="00000000" w:rsidRDefault="00000000" w:rsidRPr="00000000" w14:paraId="00000045">
      <w:pPr>
        <w:pStyle w:val="Heading2"/>
        <w:spacing w:after="80" w:before="360" w:line="276" w:lineRule="auto"/>
        <w:ind w:left="0"/>
        <w:rPr>
          <w:rFonts w:ascii="Arial" w:cs="Arial" w:eastAsia="Arial" w:hAnsi="Arial"/>
          <w:sz w:val="28"/>
          <w:szCs w:val="28"/>
        </w:rPr>
      </w:pPr>
      <w:bookmarkStart w:colFirst="0" w:colLast="0" w:name="_ixrovhfa1c1u" w:id="2"/>
      <w:bookmarkEnd w:id="2"/>
      <w:r w:rsidDel="00000000" w:rsidR="00000000" w:rsidRPr="00000000">
        <w:rPr>
          <w:rFonts w:ascii="Arial" w:cs="Arial" w:eastAsia="Arial" w:hAnsi="Arial"/>
          <w:sz w:val="28"/>
          <w:szCs w:val="28"/>
          <w:rtl w:val="0"/>
        </w:rPr>
        <w:t xml:space="preserve">1.2 Scope</w:t>
      </w:r>
    </w:p>
    <w:p w:rsidR="00000000" w:rsidDel="00000000" w:rsidP="00000000" w:rsidRDefault="00000000" w:rsidRPr="00000000" w14:paraId="00000046">
      <w:pPr>
        <w:spacing w:after="200" w:line="276" w:lineRule="auto"/>
        <w:rPr>
          <w:rFonts w:ascii="Arial" w:cs="Arial" w:eastAsia="Arial" w:hAnsi="Arial"/>
        </w:rPr>
      </w:pPr>
      <w:r w:rsidDel="00000000" w:rsidR="00000000" w:rsidRPr="00000000">
        <w:rPr>
          <w:rFonts w:ascii="Arial" w:cs="Arial" w:eastAsia="Arial" w:hAnsi="Arial"/>
          <w:rtl w:val="0"/>
        </w:rPr>
        <w:t xml:space="preserve">APP-11 message sets and fields are compared with the information elements of MIP4-IES.</w:t>
      </w:r>
    </w:p>
    <w:p w:rsidR="00000000" w:rsidDel="00000000" w:rsidP="00000000" w:rsidRDefault="00000000" w:rsidRPr="00000000" w14:paraId="00000047">
      <w:pPr>
        <w:spacing w:after="200" w:line="276" w:lineRule="auto"/>
        <w:rPr>
          <w:rFonts w:ascii="Arial" w:cs="Arial" w:eastAsia="Arial" w:hAnsi="Arial"/>
        </w:rPr>
      </w:pPr>
      <w:r w:rsidDel="00000000" w:rsidR="00000000" w:rsidRPr="00000000">
        <w:rPr>
          <w:rFonts w:ascii="Arial" w:cs="Arial" w:eastAsia="Arial" w:hAnsi="Arial"/>
          <w:rtl w:val="0"/>
        </w:rPr>
        <w:t xml:space="preserve">MIP4-IES is based on MIP Information Model (MIM), and in that respect it is the MIM information elements that essentially are subject for this documentation.</w:t>
      </w:r>
    </w:p>
    <w:p w:rsidR="00000000" w:rsidDel="00000000" w:rsidP="00000000" w:rsidRDefault="00000000" w:rsidRPr="00000000" w14:paraId="00000048">
      <w:pPr>
        <w:spacing w:after="200" w:line="276" w:lineRule="auto"/>
        <w:rPr>
          <w:rFonts w:ascii="Arial" w:cs="Arial" w:eastAsia="Arial" w:hAnsi="Arial"/>
        </w:rPr>
      </w:pPr>
      <w:r w:rsidDel="00000000" w:rsidR="00000000" w:rsidRPr="00000000">
        <w:rPr>
          <w:rFonts w:ascii="Arial" w:cs="Arial" w:eastAsia="Arial" w:hAnsi="Arial"/>
          <w:rtl w:val="0"/>
        </w:rPr>
        <w:t xml:space="preserve">MIP4-IES and APP-11 each belong to two fundamentally different paradigms:</w:t>
      </w:r>
    </w:p>
    <w:p w:rsidR="00000000" w:rsidDel="00000000" w:rsidP="00000000" w:rsidRDefault="00000000" w:rsidRPr="00000000" w14:paraId="00000049">
      <w:pPr>
        <w:numPr>
          <w:ilvl w:val="0"/>
          <w:numId w:val="1"/>
        </w:numPr>
        <w:spacing w:after="0" w:after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APP-11 is report-based (‘push’) and mimics human-to-human reporting. Each report is an independent and self-contained entity that is machine processable as well as human readable. MIP4-IES exchanges, on a continuous basis (Publish/Subscribe), inter-referenced information for machine-processing, only.</w:t>
      </w:r>
    </w:p>
    <w:p w:rsidR="00000000" w:rsidDel="00000000" w:rsidP="00000000" w:rsidRDefault="00000000" w:rsidRPr="00000000" w14:paraId="0000004A">
      <w:pPr>
        <w:numPr>
          <w:ilvl w:val="0"/>
          <w:numId w:val="1"/>
        </w:numPr>
        <w:spacing w:after="0" w:after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The fields of APP-11 are organised into message sets, with ‘soft’ semantic relationships among the individual fields. MIM, on the other hand, is object-oriented where ‘rules’ are modelled as logic. This means that even if APP-11 and MIM should support the same semantic information element/field, </w:t>
      </w:r>
      <w:r w:rsidDel="00000000" w:rsidR="00000000" w:rsidRPr="00000000">
        <w:rPr>
          <w:rFonts w:ascii="Arial" w:cs="Arial" w:eastAsia="Arial" w:hAnsi="Arial"/>
          <w:rtl w:val="0"/>
        </w:rPr>
        <w:t xml:space="preserve">rules and logic may very well differ significantly</w:t>
      </w:r>
      <w:r w:rsidDel="00000000" w:rsidR="00000000" w:rsidRPr="00000000">
        <w:rPr>
          <w:rFonts w:ascii="Arial" w:cs="Arial" w:eastAsia="Arial" w:hAnsi="Arial"/>
          <w:rtl w:val="0"/>
        </w:rPr>
        <w:t xml:space="preserve">.</w:t>
      </w:r>
    </w:p>
    <w:p w:rsidR="00000000" w:rsidDel="00000000" w:rsidP="00000000" w:rsidRDefault="00000000" w:rsidRPr="00000000" w14:paraId="0000004B">
      <w:pPr>
        <w:numPr>
          <w:ilvl w:val="0"/>
          <w:numId w:val="1"/>
        </w:numPr>
        <w:spacing w:after="20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APP-11 supports large free-text fields. MIM and thus MIP4-IES does not. Consequently, APP-11 fields like General Text (GENTEXT), Amplification (AMPN), Narrative (NARR) and Remarks (RMKS) are not supported by MIM and thus should not expected to be mappable to MIP4-IES. MIM and thus MIP-4 IES do provide free text comments fields to Concepts, however not to the same extent as APP-11.</w:t>
      </w:r>
    </w:p>
    <w:p w:rsidR="00000000" w:rsidDel="00000000" w:rsidP="00000000" w:rsidRDefault="00000000" w:rsidRPr="00000000" w14:paraId="0000004C">
      <w:pPr>
        <w:spacing w:after="200" w:line="276" w:lineRule="auto"/>
        <w:ind w:left="0" w:firstLine="0"/>
        <w:rPr>
          <w:rFonts w:ascii="Arial" w:cs="Arial" w:eastAsia="Arial" w:hAnsi="Arial"/>
        </w:rPr>
      </w:pPr>
      <w:r w:rsidDel="00000000" w:rsidR="00000000" w:rsidRPr="00000000">
        <w:rPr>
          <w:rFonts w:ascii="Arial" w:cs="Arial" w:eastAsia="Arial" w:hAnsi="Arial"/>
          <w:rtl w:val="0"/>
        </w:rPr>
        <w:t xml:space="preserve">Because of the above listed general differences, a one-to-one mapping between any APP-11 message type and MIP4-IES is not possible. However, for some specific information elements or fields there are communalities that enable a partial mapping.</w:t>
      </w:r>
    </w:p>
    <w:p w:rsidR="00000000" w:rsidDel="00000000" w:rsidP="00000000" w:rsidRDefault="00000000" w:rsidRPr="00000000" w14:paraId="0000004D">
      <w:pPr>
        <w:spacing w:after="200" w:line="276" w:lineRule="auto"/>
        <w:ind w:left="0" w:firstLine="0"/>
        <w:rPr>
          <w:rFonts w:ascii="Arial" w:cs="Arial" w:eastAsia="Arial" w:hAnsi="Arial"/>
        </w:rPr>
      </w:pPr>
      <w:r w:rsidDel="00000000" w:rsidR="00000000" w:rsidRPr="00000000">
        <w:rPr>
          <w:rFonts w:ascii="Arial" w:cs="Arial" w:eastAsia="Arial" w:hAnsi="Arial"/>
          <w:rtl w:val="0"/>
        </w:rPr>
        <w:t xml:space="preserve">For selected APP-11 message types and with the starting-point of their text fields, and to the extent possible, this document provides a mapping matrix as below.</w:t>
      </w:r>
    </w:p>
    <w:p w:rsidR="00000000" w:rsidDel="00000000" w:rsidP="00000000" w:rsidRDefault="00000000" w:rsidRPr="00000000" w14:paraId="0000004E">
      <w:pPr>
        <w:spacing w:after="200" w:line="276" w:lineRule="auto"/>
        <w:ind w:left="0" w:firstLine="0"/>
        <w:rPr>
          <w:rFonts w:ascii="Arial" w:cs="Arial" w:eastAsia="Arial" w:hAnsi="Arial"/>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APP-11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Mapping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 colour] Field is only applicable for APP-11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Values can in general be mapped with MIP4-IES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Limited amount of compatibility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field (often free text) falls outside of the concepts of MIP4-IES</w:t>
            </w:r>
          </w:p>
        </w:tc>
      </w:tr>
    </w:tbl>
    <w:p w:rsidR="00000000" w:rsidDel="00000000" w:rsidP="00000000" w:rsidRDefault="00000000" w:rsidRPr="00000000" w14:paraId="0000005E">
      <w:pPr>
        <w:pStyle w:val="Heading2"/>
        <w:spacing w:after="80" w:before="360" w:line="276" w:lineRule="auto"/>
        <w:ind w:left="0"/>
        <w:rPr>
          <w:rFonts w:ascii="Arial" w:cs="Arial" w:eastAsia="Arial" w:hAnsi="Arial"/>
          <w:sz w:val="28"/>
          <w:szCs w:val="28"/>
        </w:rPr>
      </w:pPr>
      <w:bookmarkStart w:colFirst="0" w:colLast="0" w:name="_g20hr9eqqe5l" w:id="3"/>
      <w:bookmarkEnd w:id="3"/>
      <w:r w:rsidDel="00000000" w:rsidR="00000000" w:rsidRPr="00000000">
        <w:rPr>
          <w:rFonts w:ascii="Arial" w:cs="Arial" w:eastAsia="Arial" w:hAnsi="Arial"/>
          <w:sz w:val="28"/>
          <w:szCs w:val="28"/>
          <w:rtl w:val="0"/>
        </w:rPr>
        <w:t xml:space="preserve">1.3 Target Audience</w:t>
      </w:r>
    </w:p>
    <w:p w:rsidR="00000000" w:rsidDel="00000000" w:rsidP="00000000" w:rsidRDefault="00000000" w:rsidRPr="00000000" w14:paraId="0000005F">
      <w:pPr>
        <w:ind w:left="0"/>
        <w:rPr>
          <w:rFonts w:ascii="Arial" w:cs="Arial" w:eastAsia="Arial" w:hAnsi="Arial"/>
        </w:rPr>
      </w:pPr>
      <w:r w:rsidDel="00000000" w:rsidR="00000000" w:rsidRPr="00000000">
        <w:rPr>
          <w:rFonts w:ascii="Arial" w:cs="Arial" w:eastAsia="Arial" w:hAnsi="Arial"/>
          <w:rtl w:val="0"/>
        </w:rPr>
        <w:t xml:space="preserve">This document is targeted at interoperability stakeholders who:</w:t>
      </w:r>
    </w:p>
    <w:p w:rsidR="00000000" w:rsidDel="00000000" w:rsidP="00000000" w:rsidRDefault="00000000" w:rsidRPr="00000000" w14:paraId="00000060">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In further details wish to understand the similarities between MIP4-IES and APP-11.</w:t>
      </w:r>
    </w:p>
    <w:p w:rsidR="00000000" w:rsidDel="00000000" w:rsidP="00000000" w:rsidRDefault="00000000" w:rsidRPr="00000000" w14:paraId="00000061">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Wish to implement a mapping mechanism between MIP4-IES and APP-11 messages, eventually</w:t>
      </w:r>
      <w:r w:rsidDel="00000000" w:rsidR="00000000" w:rsidRPr="00000000">
        <w:rPr>
          <w:rFonts w:ascii="Arial" w:cs="Arial" w:eastAsia="Arial" w:hAnsi="Arial"/>
          <w:rtl w:val="0"/>
        </w:rPr>
        <w:t xml:space="preserve"> national </w:t>
      </w:r>
      <w:r w:rsidDel="00000000" w:rsidR="00000000" w:rsidRPr="00000000">
        <w:rPr>
          <w:rFonts w:ascii="Arial" w:cs="Arial" w:eastAsia="Arial" w:hAnsi="Arial"/>
          <w:rtl w:val="0"/>
        </w:rPr>
        <w:t xml:space="preserve">C2IS domain models. This document may provide supplementary assistance for such development.</w:t>
      </w:r>
    </w:p>
    <w:p w:rsidR="00000000" w:rsidDel="00000000" w:rsidP="00000000" w:rsidRDefault="00000000" w:rsidRPr="00000000" w14:paraId="00000062">
      <w:pPr>
        <w:pStyle w:val="Heading1"/>
        <w:ind w:left="0"/>
        <w:rPr>
          <w:rFonts w:ascii="Arial" w:cs="Arial" w:eastAsia="Arial" w:hAnsi="Arial"/>
        </w:rPr>
      </w:pPr>
      <w:bookmarkStart w:colFirst="0" w:colLast="0" w:name="_2p7pvqw156v2" w:id="4"/>
      <w:bookmarkEnd w:id="4"/>
      <w:r w:rsidDel="00000000" w:rsidR="00000000" w:rsidRPr="00000000">
        <w:rPr>
          <w:rFonts w:ascii="Arial" w:cs="Arial" w:eastAsia="Arial" w:hAnsi="Arial"/>
          <w:vertAlign w:val="baseline"/>
          <w:rtl w:val="0"/>
        </w:rPr>
        <w:t xml:space="preserve">2 </w:t>
      </w:r>
      <w:r w:rsidDel="00000000" w:rsidR="00000000" w:rsidRPr="00000000">
        <w:rPr>
          <w:rFonts w:ascii="Arial" w:cs="Arial" w:eastAsia="Arial" w:hAnsi="Arial"/>
          <w:rtl w:val="0"/>
        </w:rPr>
        <w:t xml:space="preserve">APP-11(D)(1) OWNSITREP</w:t>
      </w:r>
    </w:p>
    <w:p w:rsidR="00000000" w:rsidDel="00000000" w:rsidP="00000000" w:rsidRDefault="00000000" w:rsidRPr="00000000" w14:paraId="00000063">
      <w:pPr>
        <w:pStyle w:val="Heading1"/>
        <w:ind w:left="0"/>
        <w:rPr>
          <w:rFonts w:ascii="Arial" w:cs="Arial" w:eastAsia="Arial" w:hAnsi="Arial"/>
          <w:sz w:val="28"/>
          <w:szCs w:val="28"/>
        </w:rPr>
      </w:pPr>
      <w:bookmarkStart w:colFirst="0" w:colLast="0" w:name="_kvnmus1y0t92" w:id="5"/>
      <w:bookmarkEnd w:id="5"/>
      <w:r w:rsidDel="00000000" w:rsidR="00000000" w:rsidRPr="00000000">
        <w:rPr>
          <w:rFonts w:ascii="Arial" w:cs="Arial" w:eastAsia="Arial" w:hAnsi="Arial"/>
          <w:rtl w:val="0"/>
        </w:rPr>
        <w:t xml:space="preserve"> </w:t>
      </w:r>
      <w:r w:rsidDel="00000000" w:rsidR="00000000" w:rsidRPr="00000000">
        <w:rPr>
          <w:rFonts w:ascii="Arial" w:cs="Arial" w:eastAsia="Arial" w:hAnsi="Arial"/>
          <w:sz w:val="28"/>
          <w:szCs w:val="28"/>
          <w:rtl w:val="0"/>
        </w:rPr>
        <w:t xml:space="preserve">2.1 Major Differences between MIP4-IES and OWNSITREP</w:t>
      </w:r>
    </w:p>
    <w:p w:rsidR="00000000" w:rsidDel="00000000" w:rsidP="00000000" w:rsidRDefault="00000000" w:rsidRPr="00000000" w14:paraId="00000064">
      <w:pPr>
        <w:numPr>
          <w:ilvl w:val="0"/>
          <w:numId w:val="3"/>
        </w:numPr>
        <w:ind w:left="720" w:hanging="360"/>
        <w:rPr>
          <w:rFonts w:ascii="Arial" w:cs="Arial" w:eastAsia="Arial" w:hAnsi="Arial"/>
          <w:vertAlign w:val="baseline"/>
        </w:rPr>
      </w:pPr>
      <w:r w:rsidDel="00000000" w:rsidR="00000000" w:rsidRPr="00000000">
        <w:rPr>
          <w:rFonts w:ascii="Arial" w:cs="Arial" w:eastAsia="Arial" w:hAnsi="Arial"/>
          <w:rtl w:val="0"/>
        </w:rPr>
        <w:t xml:space="preserve">An OWNSITREP message provides an independent ‘snapshot’ of Own forces’ situation. MIP4-IES can provide a Recognised Ground Picture (RGP) of Own forces’ situations but as a dynamic picture where Battle Space Objects (BSOs) are interdependent.</w:t>
      </w:r>
    </w:p>
    <w:p w:rsidR="00000000" w:rsidDel="00000000" w:rsidP="00000000" w:rsidRDefault="00000000" w:rsidRPr="00000000" w14:paraId="00000065">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Compared to APP-11(D)(1) OWNSITREP and in its context, MIM and thus MIP4-IES has limited support, making mapping more challenging, of operational concepts for:</w:t>
      </w:r>
    </w:p>
    <w:p w:rsidR="00000000" w:rsidDel="00000000" w:rsidP="00000000" w:rsidRDefault="00000000" w:rsidRPr="00000000" w14:paraId="00000066">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Link Status</w:t>
      </w:r>
    </w:p>
    <w:p w:rsidR="00000000" w:rsidDel="00000000" w:rsidP="00000000" w:rsidRDefault="00000000" w:rsidRPr="00000000" w14:paraId="00000067">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Combat Effectiveness whereas MIP4-IES operates in a slightly other paradigm as “Operational Status” and thus not directly mappable with APP-11.</w:t>
      </w:r>
    </w:p>
    <w:p w:rsidR="00000000" w:rsidDel="00000000" w:rsidP="00000000" w:rsidRDefault="00000000" w:rsidRPr="00000000" w14:paraId="00000068">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Enemy Strength, as OWNSITREP also reports about enemy forces, seen from Own Forces’ perspective, as MIM does not provide a direct linkage between Own and Enemy Forces in the same way as APP-11 does.</w:t>
      </w:r>
    </w:p>
    <w:p w:rsidR="00000000" w:rsidDel="00000000" w:rsidP="00000000" w:rsidRDefault="00000000" w:rsidRPr="00000000" w14:paraId="0000006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A">
      <w:pPr>
        <w:pStyle w:val="Heading1"/>
        <w:ind w:left="0"/>
        <w:rPr>
          <w:rFonts w:ascii="Arial" w:cs="Arial" w:eastAsia="Arial" w:hAnsi="Arial"/>
        </w:rPr>
      </w:pPr>
      <w:bookmarkStart w:colFirst="0" w:colLast="0" w:name="_b2pymfshzuak" w:id="6"/>
      <w:bookmarkEnd w:id="6"/>
      <w:r w:rsidDel="00000000" w:rsidR="00000000" w:rsidRPr="00000000">
        <w:rPr>
          <w:rFonts w:ascii="Arial" w:cs="Arial" w:eastAsia="Arial" w:hAnsi="Arial"/>
          <w:rtl w:val="0"/>
        </w:rPr>
        <w:t xml:space="preserve"> </w:t>
      </w:r>
      <w:r w:rsidDel="00000000" w:rsidR="00000000" w:rsidRPr="00000000">
        <w:rPr>
          <w:rFonts w:ascii="Arial" w:cs="Arial" w:eastAsia="Arial" w:hAnsi="Arial"/>
          <w:sz w:val="28"/>
          <w:szCs w:val="28"/>
          <w:rtl w:val="0"/>
        </w:rPr>
        <w:t xml:space="preserve">2.2 Comparison Table</w:t>
      </w:r>
      <w:r w:rsidDel="00000000" w:rsidR="00000000" w:rsidRPr="00000000">
        <w:rPr>
          <w:rtl w:val="0"/>
        </w:rPr>
      </w:r>
    </w:p>
    <w:p w:rsidR="00000000" w:rsidDel="00000000" w:rsidP="00000000" w:rsidRDefault="00000000" w:rsidRPr="00000000" w14:paraId="0000006B">
      <w:pPr>
        <w:spacing w:after="100" w:before="0" w:lineRule="auto"/>
        <w:rPr/>
      </w:pPr>
      <w:r w:rsidDel="00000000" w:rsidR="00000000" w:rsidRPr="00000000">
        <w:rPr>
          <w:rtl w:val="0"/>
        </w:rPr>
      </w:r>
    </w:p>
    <w:tbl>
      <w:tblPr>
        <w:tblStyle w:val="Table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3.93348219532265"/>
        <w:gridCol w:w="493.93348219532265"/>
        <w:gridCol w:w="508.9011634739688"/>
        <w:gridCol w:w="2918.6978493359975"/>
        <w:gridCol w:w="4041.2739452344576"/>
        <w:gridCol w:w="568.7718885885533"/>
        <w:tblGridChange w:id="0">
          <w:tblGrid>
            <w:gridCol w:w="493.93348219532265"/>
            <w:gridCol w:w="493.93348219532265"/>
            <w:gridCol w:w="508.9011634739688"/>
            <w:gridCol w:w="2918.6978493359975"/>
            <w:gridCol w:w="4041.2739452344576"/>
            <w:gridCol w:w="568.7718885885533"/>
          </w:tblGrid>
        </w:tblGridChange>
      </w:tblGrid>
      <w:tr>
        <w:trPr>
          <w:trHeight w:val="485"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OWNSITREP</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1">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(Header)</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Header of the message (generic structure).</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7">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EXER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100" w:lineRule="auto"/>
              <w:ind w:left="100" w:righ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OPER</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100" w:lineRule="auto"/>
              <w:ind w:left="100" w:righ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MSGID</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100" w:lineRule="auto"/>
              <w:ind w:left="100" w:righ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REF</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100" w:lineRule="auto"/>
              <w:ind w:left="100" w:righ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GEODATUM</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100" w:lineRule="auto"/>
              <w:ind w:left="100" w:righ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DTG</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100" w:lineRule="auto"/>
              <w:ind w:left="100" w:righ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09B">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ORGIDDFT</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100" w:lineRule="auto"/>
              <w:ind w:left="100" w:righ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0A1">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MAPNOGD</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100" w:lineRule="auto"/>
              <w:ind w:left="100" w:righ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7">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(1.1) PARTTITL “OWN FORCES TASK ORGANIZATION”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part reports about the force structure of the unit doing the reporting (can be displayed as a TaskOrg tree).</w:t>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0AD">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ORGID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0B3">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CMDREL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0B9">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ORGIDSUB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0BF">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CMDREL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0C5">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TIME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0CB">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GENTEXT “COMMANDERS ASSESSMENT OWN FORCES TASK ORGANIZATION”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Assessment attached to the TaskOrg.</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D1">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(2.1) PARTTITL “OWN FORCES PRESENCE REPORT”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part reports about the own units being reported (can be displayed as an Overlay).</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7">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ORGID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0DD">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TPERID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0E3">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LOCNFSTS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E9">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TPERID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0EF">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ACTIVITY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0F5">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OPMOVEMT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0FB">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GENTEXT “COMMANDERS ASSESSMENT OWN FORCES PRESENCE REPORTS”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Assessment attached to the Overlay.</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01">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28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(3.1) PARTTITL “OWN FORCES UNIT STATUS”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part reports about the combat effectiveness, the quantity of main equipment and link status of the units being reported (only the combat effectiveness can be displayed in an overlay, the rest probably needs to be displayed in tabular form).</w:t>
            </w:r>
          </w:p>
          <w:p w:rsidR="00000000" w:rsidDel="00000000" w:rsidP="00000000" w:rsidRDefault="00000000" w:rsidRPr="00000000" w14:paraId="00000107">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part also reports about the enemy units facing the reported own units.</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8">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ORGID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10E">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CEFT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114">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EQUIP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11A">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1LNKSTAT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120">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EORGID</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This relates to the enemy units</w:t>
            </w:r>
          </w:p>
          <w:p w:rsidR="00000000" w:rsidDel="00000000" w:rsidP="00000000" w:rsidRDefault="00000000" w:rsidRPr="00000000" w14:paraId="00000126">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In some cases, it may be depicted as an overlay but only if the units are unambiguously located. Otherwise, it would have to be displayed in a tabular form.</w:t>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127">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ESTRENTH</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100" w:lineRule="auto"/>
              <w:ind w:left="100" w:righ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12D">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EMAT</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100" w:lineRule="auto"/>
              <w:ind w:left="100" w:righ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133">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LOCATION</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100" w:lineRule="auto"/>
              <w:ind w:left="100" w:righ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139">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LOCAMPN</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100" w:lineRule="auto"/>
              <w:ind w:left="100" w:righ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13F">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TIME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100" w:lineRule="auto"/>
              <w:ind w:left="100" w:righ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145">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ACTIVITY</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100" w:lineRule="auto"/>
              <w:ind w:left="100" w:righ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14B">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GENTEXT “ATTITUDE AND INTENTION”</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after="100" w:lineRule="auto"/>
              <w:ind w:left="100" w:right="10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51">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GENTEXT “COMMANDERS ASSESSMENT OWN FORCES UNIT STATUS”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Assessment attached to the Overlay and associated Table.</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57">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(4.1) PARTTITL “CONTROL AND COORDINATION LINES”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This part reports about the control features managed by the various own units (can be displayed as an Overlay).</w:t>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15D">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ORGID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163">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LINETYPE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169">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LOCNF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16F">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ORGIDBDY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175">
            <w:pPr>
              <w:spacing w:before="240" w:line="276" w:lineRule="auto"/>
              <w:ind w:left="100" w:right="10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TPERID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17B">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QSTRTIME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00b050" w:val="clear"/>
            <w:tcMar>
              <w:top w:w="100.0" w:type="dxa"/>
              <w:left w:w="100.0" w:type="dxa"/>
              <w:bottom w:w="100.0" w:type="dxa"/>
              <w:right w:w="100.0" w:type="dxa"/>
            </w:tcMar>
            <w:vAlign w:val="top"/>
          </w:tcPr>
          <w:p w:rsidR="00000000" w:rsidDel="00000000" w:rsidP="00000000" w:rsidRDefault="00000000" w:rsidRPr="00000000" w14:paraId="00000181">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GENTEXT “CDR ASSESS OWN SITUATION”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Assessment attached to the own situation as a whole.</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87">
            <w:pPr>
              <w:spacing w:before="240" w:line="276" w:lineRule="auto"/>
              <w:ind w:left="100" w:right="1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88">
      <w:pPr>
        <w:spacing w:after="100" w:before="0" w:lineRule="auto"/>
        <w:rPr/>
      </w:pPr>
      <w:r w:rsidDel="00000000" w:rsidR="00000000" w:rsidRPr="00000000">
        <w:rPr>
          <w:rtl w:val="0"/>
        </w:rPr>
      </w:r>
    </w:p>
    <w:sectPr>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432" w:right="0" w:hanging="432"/>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576" w:right="0" w:hanging="576"/>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hanging="720"/>
      <w:jc w:val="left"/>
    </w:pPr>
    <w:rPr>
      <w:rFonts w:ascii="Times New Roman" w:cs="Times New Roman" w:eastAsia="Times New Roman" w:hAnsi="Times New Roma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864" w:right="0" w:hanging="864"/>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1008" w:right="0" w:hanging="1008"/>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1152" w:right="0" w:hanging="1152"/>
      <w:jc w:val="left"/>
    </w:pPr>
    <w:rPr>
      <w:rFonts w:ascii="Times New Roman" w:cs="Times New Roman" w:eastAsia="Times New Roman" w:hAnsi="Times New Roman"/>
      <w:b w:val="1"/>
      <w:i w:val="0"/>
      <w:smallCaps w:val="0"/>
      <w:strike w:val="0"/>
      <w:color w:val="000000"/>
      <w:sz w:val="15"/>
      <w:szCs w:val="15"/>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PU6YIuehAa5EEedk-FK5JB3klumGoIb9N2NxKmBD1WE/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ip-interop.org" TargetMode="External"/><Relationship Id="rId8" Type="http://schemas.openxmlformats.org/officeDocument/2006/relationships/hyperlink" Target="https://www.mip-intero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