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A12AE2" w:rsidRDefault="007F3DFB" w:rsidP="0082056C">
      <w:pPr>
        <w:pStyle w:val="Epgrafe"/>
      </w:pPr>
      <w:r w:rsidRPr="00A12AE2">
        <w:t>Test description</w:t>
      </w:r>
    </w:p>
    <w:p w:rsidR="00474C1E" w:rsidRPr="00A12AE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A12AE2" w:rsidRDefault="003009FE" w:rsidP="008D4673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</w:t>
            </w:r>
            <w:r w:rsidR="00AE7E5A" w:rsidRPr="00A12AE2">
              <w:rPr>
                <w:rFonts w:ascii="Arial" w:hAnsi="Arial" w:cs="Arial"/>
                <w:sz w:val="24"/>
              </w:rPr>
              <w:t>1</w:t>
            </w:r>
            <w:r w:rsidRPr="00A12AE2">
              <w:rPr>
                <w:rFonts w:ascii="Arial" w:hAnsi="Arial" w:cs="Arial"/>
                <w:sz w:val="24"/>
              </w:rPr>
              <w:t>_1</w:t>
            </w:r>
            <w:r w:rsidR="006E5977" w:rsidRPr="00A12AE2">
              <w:rPr>
                <w:rFonts w:ascii="Arial" w:hAnsi="Arial" w:cs="Arial"/>
                <w:sz w:val="24"/>
              </w:rPr>
              <w:t>1</w:t>
            </w:r>
            <w:r w:rsidR="00457615">
              <w:rPr>
                <w:rFonts w:ascii="Arial" w:hAnsi="Arial" w:cs="Arial"/>
                <w:sz w:val="24"/>
              </w:rPr>
              <w:t>18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A12AE2" w:rsidRDefault="00983A11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83A11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Retrieve items using an unsupported filter (from provider's point of view): </w:t>
            </w:r>
            <w:r w:rsidR="005F541E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malformed</w:t>
            </w:r>
            <w:r w:rsidR="0045761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topic expression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A12AE2" w:rsidRDefault="005F541E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(</w:t>
            </w:r>
            <w:r w:rsidR="00816205">
              <w:rPr>
                <w:rFonts w:ascii="Arial" w:hAnsi="Arial" w:cs="Arial"/>
                <w:sz w:val="24"/>
              </w:rPr>
              <w:t>High Priority area)</w:t>
            </w: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A12AE2" w:rsidRDefault="008D4673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 xml:space="preserve">To </w:t>
            </w:r>
            <w:r w:rsidR="00F805F7" w:rsidRPr="00A12AE2">
              <w:rPr>
                <w:rFonts w:ascii="Arial" w:hAnsi="Arial" w:cs="Arial"/>
                <w:sz w:val="24"/>
              </w:rPr>
              <w:t>retrieve items using a f</w:t>
            </w:r>
            <w:r w:rsidR="00716DD5" w:rsidRPr="00A12AE2">
              <w:rPr>
                <w:rFonts w:ascii="Arial" w:hAnsi="Arial" w:cs="Arial"/>
                <w:sz w:val="24"/>
              </w:rPr>
              <w:t>il</w:t>
            </w:r>
            <w:r w:rsidR="00983A11">
              <w:rPr>
                <w:rFonts w:ascii="Arial" w:hAnsi="Arial" w:cs="Arial"/>
                <w:sz w:val="24"/>
              </w:rPr>
              <w:t>ter on a</w:t>
            </w:r>
            <w:r w:rsidR="00FA280C">
              <w:rPr>
                <w:rFonts w:ascii="Arial" w:hAnsi="Arial" w:cs="Arial"/>
                <w:sz w:val="24"/>
              </w:rPr>
              <w:t xml:space="preserve"> </w:t>
            </w:r>
            <w:r w:rsidR="00FA280C" w:rsidRPr="00FA280C">
              <w:rPr>
                <w:rFonts w:ascii="Arial" w:hAnsi="Arial" w:cs="Arial"/>
                <w:sz w:val="24"/>
              </w:rPr>
              <w:t xml:space="preserve">from </w:t>
            </w:r>
            <w:r w:rsidR="00FA280C">
              <w:rPr>
                <w:rFonts w:ascii="Arial" w:hAnsi="Arial" w:cs="Arial"/>
                <w:sz w:val="24"/>
              </w:rPr>
              <w:t>the provider</w:t>
            </w:r>
            <w:r w:rsidR="00FA280C" w:rsidRPr="00FA280C">
              <w:rPr>
                <w:rFonts w:ascii="Arial" w:hAnsi="Arial" w:cs="Arial"/>
                <w:sz w:val="24"/>
              </w:rPr>
              <w:t xml:space="preserve"> </w:t>
            </w:r>
            <w:r w:rsidR="005F541E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malformed </w:t>
            </w:r>
            <w:r w:rsidR="0045761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topic expression</w:t>
            </w:r>
            <w:r w:rsidR="00FA280C">
              <w:rPr>
                <w:rFonts w:ascii="Arial" w:hAnsi="Arial" w:cs="Arial"/>
                <w:sz w:val="24"/>
              </w:rPr>
              <w:t xml:space="preserve"> (</w:t>
            </w:r>
            <w:r w:rsidR="00983A11">
              <w:rPr>
                <w:rFonts w:ascii="Arial" w:hAnsi="Arial" w:cs="Arial"/>
                <w:sz w:val="24"/>
              </w:rPr>
              <w:t xml:space="preserve">using a </w:t>
            </w:r>
            <w:proofErr w:type="spellStart"/>
            <w:r w:rsidR="00F805F7" w:rsidRPr="00A12AE2">
              <w:rPr>
                <w:rFonts w:ascii="Arial" w:hAnsi="Arial" w:cs="Arial"/>
                <w:sz w:val="24"/>
              </w:rPr>
              <w:t>TopicExpression</w:t>
            </w:r>
            <w:proofErr w:type="spellEnd"/>
            <w:r w:rsidR="00FA280C">
              <w:rPr>
                <w:rFonts w:ascii="Arial" w:hAnsi="Arial" w:cs="Arial"/>
                <w:sz w:val="24"/>
              </w:rPr>
              <w:t>)</w:t>
            </w:r>
            <w:r w:rsidR="00F805F7" w:rsidRPr="00A12AE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12AE2" w:rsidTr="00E74EC9">
        <w:trPr>
          <w:trHeight w:val="113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716DD5" w:rsidRPr="00A12AE2" w:rsidRDefault="00F805F7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Test</w:t>
            </w:r>
            <w:r w:rsidR="00FA280C">
              <w:rPr>
                <w:rFonts w:ascii="Arial" w:hAnsi="Arial" w:cs="Arial"/>
                <w:sz w:val="24"/>
                <w:szCs w:val="24"/>
              </w:rPr>
              <w:t xml:space="preserve"> of faults (to be derived with “</w:t>
            </w:r>
            <w:r w:rsidR="00ED769E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malformed topic expression</w:t>
            </w:r>
            <w:r w:rsidR="00ED769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280C">
              <w:rPr>
                <w:rFonts w:ascii="Arial" w:hAnsi="Arial" w:cs="Arial"/>
                <w:sz w:val="24"/>
                <w:szCs w:val="24"/>
              </w:rPr>
              <w:t>"</w:t>
            </w:r>
            <w:r w:rsidRPr="00A12AE2">
              <w:rPr>
                <w:rFonts w:ascii="Arial" w:hAnsi="Arial" w:cs="Arial"/>
                <w:sz w:val="24"/>
                <w:szCs w:val="24"/>
              </w:rPr>
              <w:t>). ‘Retrieve’ is the term used within MIP Information Exchange Specification (MIP IES) - REQUEST/RESPONSE EXCHANGE PATTERN.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A12AE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A12AE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Pr="00A12AE2" w:rsidRDefault="005C53CA" w:rsidP="00E74EC9">
            <w:pPr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MIP4SLT1_</w:t>
            </w:r>
            <w:r w:rsidR="00E74EC9" w:rsidRPr="00A12AE2">
              <w:rPr>
                <w:rFonts w:ascii="Arial" w:hAnsi="Arial" w:cs="Arial"/>
                <w:sz w:val="24"/>
              </w:rPr>
              <w:t>1211,  MIP4SLT1_1214</w:t>
            </w:r>
            <w:r w:rsidR="00487EF0" w:rsidRPr="00A12AE2">
              <w:rPr>
                <w:rFonts w:ascii="Arial" w:hAnsi="Arial" w:cs="Arial"/>
                <w:sz w:val="24"/>
              </w:rPr>
              <w:t>, MIP4SLT1_1213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A12AE2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A12AE2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A12AE2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F805F7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</w:t>
                  </w:r>
                  <w:r w:rsidR="00E74EC9"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A12AE2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A12AE2" w:rsidRDefault="00E74EC9" w:rsidP="00E74EC9">
            <w:pPr>
              <w:rPr>
                <w:lang w:val="en-GB"/>
              </w:rPr>
            </w:pPr>
          </w:p>
          <w:p w:rsidR="009723FD" w:rsidRPr="00A12AE2" w:rsidRDefault="009723FD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A12AE2" w:rsidRDefault="00F805F7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Name of single topic to be tested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A12AE2" w:rsidRDefault="005C53CA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</w:t>
            </w:r>
            <w:r w:rsidR="00A5468D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onsumer system is able to correctly receive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al</w:t>
            </w:r>
            <w:r w:rsidR="002C1EC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l information associated with </w:t>
            </w:r>
            <w:r w:rsidR="004236C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topic, </w:t>
            </w:r>
            <w:r w:rsidR="00454C2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i.e. that the topic expression has been malformed at</w:t>
            </w:r>
            <w:r w:rsidR="004236C7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the Provider</w:t>
            </w:r>
            <w:r w:rsidR="004236C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over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4236C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8668" w:type="dxa"/>
          </w:tcPr>
          <w:p w:rsidR="00A77479" w:rsidRPr="00A12AE2" w:rsidRDefault="005C53CA" w:rsidP="005A4D32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rmation associated with the single topic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requested is received correctly.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A12AE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REQ_SYS_0021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REQ_EM_0012</w:t>
            </w:r>
          </w:p>
        </w:tc>
      </w:tr>
    </w:tbl>
    <w:p w:rsidR="00304890" w:rsidRPr="00A12AE2" w:rsidRDefault="00304890">
      <w:pPr>
        <w:rPr>
          <w:rFonts w:ascii="Arial" w:hAnsi="Arial" w:cs="Arial"/>
          <w:sz w:val="22"/>
        </w:rPr>
      </w:pPr>
      <w:r w:rsidRPr="00A12AE2">
        <w:rPr>
          <w:rFonts w:ascii="Arial" w:hAnsi="Arial" w:cs="Arial"/>
        </w:rPr>
        <w:br w:type="page"/>
      </w:r>
    </w:p>
    <w:p w:rsidR="00A77479" w:rsidRPr="00A12AE2" w:rsidRDefault="00A77479" w:rsidP="00304890">
      <w:pPr>
        <w:pStyle w:val="Ttulo"/>
        <w:jc w:val="left"/>
      </w:pPr>
      <w:bookmarkStart w:id="0" w:name="_Toc500669321"/>
      <w:bookmarkStart w:id="1" w:name="_Toc500669481"/>
      <w:r w:rsidRPr="00A12AE2">
        <w:lastRenderedPageBreak/>
        <w:t>Test Procedure</w:t>
      </w:r>
      <w:bookmarkEnd w:id="0"/>
      <w:bookmarkEnd w:id="1"/>
    </w:p>
    <w:p w:rsidR="00474C1E" w:rsidRPr="00A12AE2" w:rsidRDefault="00474C1E" w:rsidP="00304890">
      <w:pPr>
        <w:pStyle w:val="Ttulo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A12AE2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Src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Dst</w:t>
            </w:r>
            <w:proofErr w:type="spellEnd"/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 xml:space="preserve">Consumer (1) requests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information about </w:t>
            </w:r>
            <w:r w:rsidRPr="00A12AE2">
              <w:rPr>
                <w:rFonts w:ascii="Arial" w:hAnsi="Arial" w:cs="Arial"/>
                <w:sz w:val="24"/>
                <w:szCs w:val="24"/>
              </w:rPr>
              <w:t>item</w:t>
            </w:r>
            <w:r w:rsidR="004B71F1" w:rsidRPr="00A12AE2">
              <w:rPr>
                <w:rFonts w:ascii="Arial" w:hAnsi="Arial" w:cs="Arial"/>
                <w:sz w:val="24"/>
                <w:szCs w:val="24"/>
              </w:rPr>
              <w:t>s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contained by a single topic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from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Provider (2) </w:t>
            </w:r>
            <w:r w:rsidR="004236C7">
              <w:rPr>
                <w:rFonts w:ascii="Arial" w:hAnsi="Arial" w:cs="Arial"/>
                <w:sz w:val="24"/>
                <w:szCs w:val="24"/>
              </w:rPr>
              <w:t xml:space="preserve">using a </w:t>
            </w:r>
            <w:proofErr w:type="spellStart"/>
            <w:r w:rsidR="00716DD5" w:rsidRPr="00A12AE2">
              <w:rPr>
                <w:rFonts w:ascii="Arial" w:hAnsi="Arial" w:cs="Arial"/>
                <w:sz w:val="24"/>
                <w:szCs w:val="24"/>
              </w:rPr>
              <w:t>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.</w:t>
            </w:r>
            <w:r w:rsidR="000C35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5B6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0C35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5B6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4236C7" w:rsidP="008540A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Provider </w:t>
            </w:r>
            <w:r w:rsidR="008540A6">
              <w:rPr>
                <w:rFonts w:ascii="Arial" w:hAnsi="Arial" w:cs="Arial"/>
                <w:sz w:val="24"/>
                <w:szCs w:val="24"/>
              </w:rPr>
              <w:t xml:space="preserve">response contains a </w:t>
            </w:r>
            <w:r w:rsidR="008540A6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malformed</w:t>
            </w:r>
            <w:r w:rsidR="008540A6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topic expression</w:t>
            </w:r>
            <w:r w:rsidR="00AF001B" w:rsidRPr="00A12AE2">
              <w:rPr>
                <w:rFonts w:ascii="Arial" w:hAnsi="Arial" w:cs="Arial"/>
                <w:sz w:val="24"/>
                <w:szCs w:val="24"/>
              </w:rPr>
              <w:t>.   Consumer receiv</w:t>
            </w:r>
            <w:r>
              <w:rPr>
                <w:rFonts w:ascii="Arial" w:hAnsi="Arial" w:cs="Arial"/>
                <w:sz w:val="24"/>
                <w:szCs w:val="24"/>
              </w:rPr>
              <w:t>es and interprets requested information</w:t>
            </w:r>
            <w:r w:rsidR="0082056C" w:rsidRPr="00A12AE2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0C35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5B6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Requested data is received and interpreted correctl</w:t>
            </w:r>
            <w:bookmarkStart w:id="2" w:name="_GoBack"/>
            <w:bookmarkEnd w:id="2"/>
            <w:r w:rsidRPr="00A12AE2">
              <w:rPr>
                <w:rFonts w:ascii="Arial" w:hAnsi="Arial" w:cs="Arial"/>
                <w:sz w:val="24"/>
                <w:szCs w:val="24"/>
              </w:rPr>
              <w:t>y</w:t>
            </w:r>
            <w:r w:rsidR="008540A6">
              <w:rPr>
                <w:rFonts w:ascii="Arial" w:hAnsi="Arial" w:cs="Arial"/>
                <w:sz w:val="24"/>
                <w:szCs w:val="24"/>
              </w:rPr>
              <w:t xml:space="preserve"> (i.e. realizing a </w:t>
            </w:r>
            <w:r w:rsidR="008540A6" w:rsidRPr="008540A6">
              <w:rPr>
                <w:rFonts w:ascii="Arial" w:hAnsi="Arial" w:cs="Arial"/>
                <w:sz w:val="24"/>
                <w:szCs w:val="24"/>
              </w:rPr>
              <w:t>malformed topic expression</w:t>
            </w:r>
            <w:r w:rsidR="008540A6">
              <w:rPr>
                <w:rFonts w:ascii="Arial" w:hAnsi="Arial" w:cs="Arial"/>
                <w:sz w:val="24"/>
                <w:szCs w:val="24"/>
              </w:rPr>
              <w:t>)</w:t>
            </w:r>
            <w:r w:rsidRPr="00A12AE2">
              <w:rPr>
                <w:rFonts w:ascii="Arial" w:hAnsi="Arial" w:cs="Arial"/>
                <w:sz w:val="24"/>
                <w:szCs w:val="24"/>
              </w:rPr>
              <w:t>.</w:t>
            </w:r>
            <w:r w:rsidR="000C35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5B6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45ED1" w:rsidRPr="00A12AE2" w:rsidRDefault="00645ED1" w:rsidP="00645ED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  <w:r w:rsidRPr="00A12AE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5ED1" w:rsidRPr="00A12AE2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Comment</w:t>
            </w:r>
          </w:p>
        </w:tc>
      </w:tr>
      <w:tr w:rsidR="00645ED1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A12AE2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5ED1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 xml:space="preserve">0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A12AE2">
              <w:rPr>
                <w:rFonts w:cs="Arial"/>
                <w:lang w:val="en-GB"/>
              </w:rPr>
              <w:br/>
              <w:t xml:space="preserve">1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5ED1" w:rsidRPr="002E2964" w:rsidRDefault="00645ED1" w:rsidP="00645ED1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4C3" w:rsidRDefault="00DE64C3">
      <w:r>
        <w:separator/>
      </w:r>
    </w:p>
  </w:endnote>
  <w:endnote w:type="continuationSeparator" w:id="0">
    <w:p w:rsidR="00DE64C3" w:rsidRDefault="00DE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40A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4C3" w:rsidRDefault="00DE64C3">
      <w:r>
        <w:separator/>
      </w:r>
    </w:p>
  </w:footnote>
  <w:footnote w:type="continuationSeparator" w:id="0">
    <w:p w:rsidR="00DE64C3" w:rsidRDefault="00DE6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C35B6"/>
    <w:rsid w:val="000D513B"/>
    <w:rsid w:val="001335A8"/>
    <w:rsid w:val="00174A82"/>
    <w:rsid w:val="00262FB9"/>
    <w:rsid w:val="002C1EC2"/>
    <w:rsid w:val="002E1EC2"/>
    <w:rsid w:val="002E2964"/>
    <w:rsid w:val="002E77E3"/>
    <w:rsid w:val="003009FE"/>
    <w:rsid w:val="00304890"/>
    <w:rsid w:val="00345246"/>
    <w:rsid w:val="00357E43"/>
    <w:rsid w:val="003D7873"/>
    <w:rsid w:val="003D791F"/>
    <w:rsid w:val="004105E3"/>
    <w:rsid w:val="004236C7"/>
    <w:rsid w:val="0045418F"/>
    <w:rsid w:val="00454C25"/>
    <w:rsid w:val="00457615"/>
    <w:rsid w:val="00463A29"/>
    <w:rsid w:val="00474C1E"/>
    <w:rsid w:val="00487EF0"/>
    <w:rsid w:val="004A613E"/>
    <w:rsid w:val="004A6E4B"/>
    <w:rsid w:val="004B71F1"/>
    <w:rsid w:val="00553EA2"/>
    <w:rsid w:val="005661C5"/>
    <w:rsid w:val="005A4D32"/>
    <w:rsid w:val="005A6051"/>
    <w:rsid w:val="005C53CA"/>
    <w:rsid w:val="005D45EE"/>
    <w:rsid w:val="005D59C4"/>
    <w:rsid w:val="005F541E"/>
    <w:rsid w:val="00601F53"/>
    <w:rsid w:val="00645ED1"/>
    <w:rsid w:val="0065037F"/>
    <w:rsid w:val="006608BA"/>
    <w:rsid w:val="0066166E"/>
    <w:rsid w:val="00695040"/>
    <w:rsid w:val="006C4374"/>
    <w:rsid w:val="006D6C2F"/>
    <w:rsid w:val="006E5977"/>
    <w:rsid w:val="006F56AE"/>
    <w:rsid w:val="00711E4A"/>
    <w:rsid w:val="00716DD5"/>
    <w:rsid w:val="00760776"/>
    <w:rsid w:val="007B14B4"/>
    <w:rsid w:val="007F185C"/>
    <w:rsid w:val="007F1CC9"/>
    <w:rsid w:val="007F3DFB"/>
    <w:rsid w:val="007F415B"/>
    <w:rsid w:val="00816205"/>
    <w:rsid w:val="0082056C"/>
    <w:rsid w:val="008540A6"/>
    <w:rsid w:val="008951E2"/>
    <w:rsid w:val="008D4673"/>
    <w:rsid w:val="008D563F"/>
    <w:rsid w:val="008D5FBB"/>
    <w:rsid w:val="008E099B"/>
    <w:rsid w:val="008E5E20"/>
    <w:rsid w:val="008F1704"/>
    <w:rsid w:val="009341E2"/>
    <w:rsid w:val="00951966"/>
    <w:rsid w:val="0095214E"/>
    <w:rsid w:val="009568E1"/>
    <w:rsid w:val="00966E90"/>
    <w:rsid w:val="009723FD"/>
    <w:rsid w:val="00983A11"/>
    <w:rsid w:val="009C1D4D"/>
    <w:rsid w:val="009D7B94"/>
    <w:rsid w:val="00A04C8C"/>
    <w:rsid w:val="00A102F5"/>
    <w:rsid w:val="00A12AE2"/>
    <w:rsid w:val="00A5468D"/>
    <w:rsid w:val="00A63B76"/>
    <w:rsid w:val="00A77479"/>
    <w:rsid w:val="00A81B42"/>
    <w:rsid w:val="00AA3298"/>
    <w:rsid w:val="00AA7E9E"/>
    <w:rsid w:val="00AB5E62"/>
    <w:rsid w:val="00AE5488"/>
    <w:rsid w:val="00AE7E5A"/>
    <w:rsid w:val="00AF001B"/>
    <w:rsid w:val="00B814A4"/>
    <w:rsid w:val="00BF6EC7"/>
    <w:rsid w:val="00C2443B"/>
    <w:rsid w:val="00CC3432"/>
    <w:rsid w:val="00CE4610"/>
    <w:rsid w:val="00CF19C5"/>
    <w:rsid w:val="00D40502"/>
    <w:rsid w:val="00DA4477"/>
    <w:rsid w:val="00DE64C3"/>
    <w:rsid w:val="00E256DD"/>
    <w:rsid w:val="00E74EC9"/>
    <w:rsid w:val="00E84A28"/>
    <w:rsid w:val="00ED769E"/>
    <w:rsid w:val="00F25BB2"/>
    <w:rsid w:val="00F607EC"/>
    <w:rsid w:val="00F739BF"/>
    <w:rsid w:val="00F805F7"/>
    <w:rsid w:val="00FA280C"/>
    <w:rsid w:val="00FD08DB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877F1-13FF-4800-9B69-B791298C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Rodrigo Jociles Ferrer</cp:lastModifiedBy>
  <cp:revision>31</cp:revision>
  <cp:lastPrinted>2015-11-11T10:08:00Z</cp:lastPrinted>
  <dcterms:created xsi:type="dcterms:W3CDTF">2016-04-12T09:26:00Z</dcterms:created>
  <dcterms:modified xsi:type="dcterms:W3CDTF">2016-10-24T08:21:00Z</dcterms:modified>
</cp:coreProperties>
</file>