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FB" w:rsidRPr="00A12AE2" w:rsidRDefault="007F3DFB" w:rsidP="0082056C">
      <w:pPr>
        <w:pStyle w:val="Caption"/>
      </w:pPr>
      <w:r w:rsidRPr="00A12AE2">
        <w:t>Test description</w:t>
      </w:r>
    </w:p>
    <w:p w:rsidR="00474C1E" w:rsidRPr="00A12AE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5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668"/>
      </w:tblGrid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8668" w:type="dxa"/>
          </w:tcPr>
          <w:p w:rsidR="00A77479" w:rsidRPr="00A12AE2" w:rsidRDefault="003009FE" w:rsidP="00185D97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</w:t>
            </w:r>
            <w:r w:rsidR="00AE7E5A" w:rsidRPr="00A12AE2">
              <w:rPr>
                <w:rFonts w:ascii="Arial" w:hAnsi="Arial" w:cs="Arial"/>
                <w:sz w:val="24"/>
              </w:rPr>
              <w:t>1</w:t>
            </w:r>
            <w:r w:rsidRPr="00A12AE2">
              <w:rPr>
                <w:rFonts w:ascii="Arial" w:hAnsi="Arial" w:cs="Arial"/>
                <w:sz w:val="24"/>
              </w:rPr>
              <w:t>_1</w:t>
            </w:r>
            <w:r w:rsidR="00153EE2">
              <w:rPr>
                <w:rFonts w:ascii="Arial" w:hAnsi="Arial" w:cs="Arial"/>
                <w:sz w:val="24"/>
              </w:rPr>
              <w:t>12</w:t>
            </w:r>
            <w:r w:rsidR="00185D97">
              <w:rPr>
                <w:rFonts w:ascii="Arial" w:hAnsi="Arial" w:cs="Arial"/>
                <w:sz w:val="24"/>
              </w:rPr>
              <w:t>7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8668" w:type="dxa"/>
          </w:tcPr>
          <w:p w:rsidR="00A77479" w:rsidRPr="00A12AE2" w:rsidRDefault="00E84A28" w:rsidP="00185D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Retrieve items using a filter on </w:t>
            </w:r>
            <w:r w:rsidR="000E2D97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bounding box.  Bounding box </w:t>
            </w:r>
            <w:r w:rsidR="00185D97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does not contain</w:t>
            </w:r>
            <w:r w:rsidR="000E2D97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items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8668" w:type="dxa"/>
          </w:tcPr>
          <w:p w:rsidR="00A77479" w:rsidRPr="00A12AE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1</w:t>
            </w:r>
            <w:r w:rsidR="00FF3407">
              <w:rPr>
                <w:rFonts w:ascii="Arial" w:hAnsi="Arial" w:cs="Arial"/>
                <w:sz w:val="24"/>
              </w:rPr>
              <w:t xml:space="preserve"> (and High Priority area)</w:t>
            </w: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8668" w:type="dxa"/>
          </w:tcPr>
          <w:p w:rsidR="009723FD" w:rsidRPr="00A12AE2" w:rsidRDefault="008D4673" w:rsidP="000E2D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 xml:space="preserve">To </w:t>
            </w:r>
            <w:r w:rsidR="00F805F7" w:rsidRPr="00A12AE2">
              <w:rPr>
                <w:rFonts w:ascii="Arial" w:hAnsi="Arial" w:cs="Arial"/>
                <w:sz w:val="24"/>
              </w:rPr>
              <w:t>retrieve items using a f</w:t>
            </w:r>
            <w:r w:rsidR="00716DD5" w:rsidRPr="00A12AE2">
              <w:rPr>
                <w:rFonts w:ascii="Arial" w:hAnsi="Arial" w:cs="Arial"/>
                <w:sz w:val="24"/>
              </w:rPr>
              <w:t>i</w:t>
            </w:r>
            <w:r w:rsidR="00153EE2">
              <w:rPr>
                <w:rFonts w:ascii="Arial" w:hAnsi="Arial" w:cs="Arial"/>
                <w:sz w:val="24"/>
              </w:rPr>
              <w:t xml:space="preserve">lter on a </w:t>
            </w:r>
            <w:r w:rsidR="000E2D97">
              <w:rPr>
                <w:rFonts w:ascii="Arial" w:hAnsi="Arial" w:cs="Arial"/>
                <w:sz w:val="24"/>
              </w:rPr>
              <w:t>bounding box</w:t>
            </w:r>
            <w:r w:rsidR="00185D97">
              <w:rPr>
                <w:rFonts w:ascii="Arial" w:hAnsi="Arial" w:cs="Arial"/>
                <w:sz w:val="24"/>
              </w:rPr>
              <w:t xml:space="preserve"> where the bounding box does not contain</w:t>
            </w:r>
            <w:r w:rsidR="000E2D97">
              <w:rPr>
                <w:rFonts w:ascii="Arial" w:hAnsi="Arial" w:cs="Arial"/>
                <w:sz w:val="24"/>
              </w:rPr>
              <w:t xml:space="preserve"> items</w:t>
            </w:r>
          </w:p>
        </w:tc>
      </w:tr>
      <w:tr w:rsidR="00A77479" w:rsidRPr="00A12AE2" w:rsidTr="00E74EC9">
        <w:trPr>
          <w:trHeight w:val="113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8668" w:type="dxa"/>
          </w:tcPr>
          <w:p w:rsidR="000E2D97" w:rsidRDefault="00F805F7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Test to be derived with (</w:t>
            </w:r>
            <w:r w:rsidR="000E2D97">
              <w:rPr>
                <w:rFonts w:ascii="Arial" w:hAnsi="Arial" w:cs="Arial"/>
                <w:sz w:val="24"/>
                <w:szCs w:val="24"/>
              </w:rPr>
              <w:t>bounding box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"contains" items</w:t>
            </w:r>
            <w:r w:rsidR="000E2D97">
              <w:rPr>
                <w:rFonts w:ascii="Arial" w:hAnsi="Arial" w:cs="Arial"/>
                <w:sz w:val="24"/>
                <w:szCs w:val="24"/>
              </w:rPr>
              <w:t>)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0E2D97" w:rsidRDefault="000E2D97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requestor must provide a valid bounding box.</w:t>
            </w:r>
          </w:p>
          <w:p w:rsidR="000E2D97" w:rsidRDefault="000E2D97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There must be </w:t>
            </w:r>
            <w:r w:rsidR="00185D97" w:rsidRPr="00185D97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185D97">
              <w:rPr>
                <w:rFonts w:ascii="Arial" w:hAnsi="Arial" w:cs="Arial"/>
                <w:sz w:val="24"/>
                <w:szCs w:val="24"/>
              </w:rPr>
              <w:t xml:space="preserve"> valid entities</w:t>
            </w:r>
            <w:r>
              <w:rPr>
                <w:rFonts w:ascii="Arial" w:hAnsi="Arial" w:cs="Arial"/>
                <w:sz w:val="24"/>
                <w:szCs w:val="24"/>
              </w:rPr>
              <w:t xml:space="preserve"> contained within the valid bounding box.</w:t>
            </w:r>
          </w:p>
          <w:p w:rsidR="00F805F7" w:rsidRPr="00A12AE2" w:rsidRDefault="00F805F7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‘Retrieve’ is the term used within MIP Information Exchange Specification (MIP IES) - REQUEST/RESPONSE EXCHANGE PATTERN.</w:t>
            </w:r>
          </w:p>
          <w:p w:rsidR="00716DD5" w:rsidRPr="00A12AE2" w:rsidRDefault="00716DD5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Notice: There is ‘TopicExpression’ yet not ‘</w:t>
            </w:r>
            <w:r w:rsidR="00153EE2">
              <w:rPr>
                <w:rFonts w:ascii="Arial" w:hAnsi="Arial" w:cs="Arial"/>
                <w:sz w:val="24"/>
                <w:szCs w:val="24"/>
              </w:rPr>
              <w:t>Concrete</w:t>
            </w:r>
            <w:r w:rsidRPr="00A12AE2">
              <w:rPr>
                <w:rFonts w:ascii="Arial" w:hAnsi="Arial" w:cs="Arial"/>
                <w:sz w:val="24"/>
                <w:szCs w:val="24"/>
              </w:rPr>
              <w:t>TopicExpression’ within MIP4.0- REQUEST/RESPONSE EXCHANGE PATTERN – IPT4</w:t>
            </w:r>
          </w:p>
          <w:p w:rsidR="00716DD5" w:rsidRPr="00A12AE2" w:rsidRDefault="00716DD5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V0.1.2, not even the term ‘</w:t>
            </w:r>
            <w:r w:rsidR="00153EE2">
              <w:rPr>
                <w:rFonts w:ascii="Arial" w:hAnsi="Arial" w:cs="Arial"/>
                <w:sz w:val="24"/>
                <w:szCs w:val="24"/>
              </w:rPr>
              <w:t>Concrete</w:t>
            </w:r>
            <w:r w:rsidRPr="00A12AE2">
              <w:rPr>
                <w:rFonts w:ascii="Arial" w:hAnsi="Arial" w:cs="Arial"/>
                <w:sz w:val="24"/>
                <w:szCs w:val="24"/>
              </w:rPr>
              <w:t>’ is once found. EMT: Please assess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8668" w:type="dxa"/>
          </w:tcPr>
          <w:p w:rsidR="00A77479" w:rsidRPr="00A12AE2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8668" w:type="dxa"/>
          </w:tcPr>
          <w:p w:rsidR="00A77479" w:rsidRPr="00A12AE2" w:rsidRDefault="00AA3298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8668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8668" w:type="dxa"/>
          </w:tcPr>
          <w:p w:rsidR="00E74EC9" w:rsidRPr="00A12AE2" w:rsidRDefault="005C53CA" w:rsidP="00E74EC9">
            <w:pPr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MIP4SLT1_</w:t>
            </w:r>
            <w:r w:rsidR="00E74EC9" w:rsidRPr="00A12AE2">
              <w:rPr>
                <w:rFonts w:ascii="Arial" w:hAnsi="Arial" w:cs="Arial"/>
                <w:sz w:val="24"/>
              </w:rPr>
              <w:t>1211,  MIP4SLT1_1214</w:t>
            </w:r>
            <w:r w:rsidR="00487EF0" w:rsidRPr="00A12AE2">
              <w:rPr>
                <w:rFonts w:ascii="Arial" w:hAnsi="Arial" w:cs="Arial"/>
                <w:sz w:val="24"/>
              </w:rPr>
              <w:t>, MIP4SLT1_1213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A12AE2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Allow  partners to exchange source identifiers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E74EC9" w:rsidRPr="00A12AE2" w:rsidTr="00E74EC9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E74EC9" w:rsidRPr="00A12AE2" w:rsidTr="00E74EC9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F805F7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</w:t>
                  </w:r>
                  <w:r w:rsidR="00E74EC9"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A12AE2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E74EC9" w:rsidRPr="00A12AE2" w:rsidRDefault="00E74EC9" w:rsidP="00E74EC9">
            <w:pPr>
              <w:rPr>
                <w:lang w:val="en-GB"/>
              </w:rPr>
            </w:pPr>
          </w:p>
          <w:p w:rsidR="009723FD" w:rsidRDefault="00191915" w:rsidP="00E74EC9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The Provider should confirm that his system </w:t>
            </w:r>
            <w:r w:rsidR="00185D97">
              <w:rPr>
                <w:rFonts w:ascii="Arial" w:hAnsi="Arial" w:cs="Arial"/>
                <w:sz w:val="24"/>
              </w:rPr>
              <w:t>does not contain any</w:t>
            </w:r>
            <w:r>
              <w:rPr>
                <w:rFonts w:ascii="Arial" w:hAnsi="Arial" w:cs="Arial"/>
                <w:sz w:val="24"/>
              </w:rPr>
              <w:t xml:space="preserve"> valid </w:t>
            </w:r>
            <w:r w:rsidR="00185D97">
              <w:rPr>
                <w:rFonts w:ascii="Arial" w:hAnsi="Arial" w:cs="Arial"/>
                <w:sz w:val="24"/>
              </w:rPr>
              <w:t>entities</w:t>
            </w:r>
            <w:r>
              <w:rPr>
                <w:rFonts w:ascii="Arial" w:hAnsi="Arial" w:cs="Arial"/>
                <w:sz w:val="24"/>
              </w:rPr>
              <w:t xml:space="preserve"> within the bounding box which the Consumer is going to provide for the test.</w:t>
            </w:r>
          </w:p>
          <w:p w:rsidR="000E2D97" w:rsidRPr="00A12AE2" w:rsidRDefault="000E2D97" w:rsidP="00E74EC9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8668" w:type="dxa"/>
          </w:tcPr>
          <w:p w:rsidR="00A77479" w:rsidRPr="00A12AE2" w:rsidRDefault="000E2D97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A valid bounding box to use as filter criterion.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8668" w:type="dxa"/>
          </w:tcPr>
          <w:p w:rsidR="00A77479" w:rsidRPr="00A12AE2" w:rsidRDefault="005C53CA" w:rsidP="00185D9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test is completed when </w:t>
            </w:r>
            <w:r w:rsidR="005661C5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FE3A2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</w:t>
            </w:r>
            <w:r w:rsidR="00A5468D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onsumer system is able to correctly receive </w:t>
            </w:r>
            <w:r w:rsidR="00185D9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lastRenderedPageBreak/>
              <w:t>an indication that there are NO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19191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tems</w:t>
            </w:r>
            <w:r w:rsidR="0019191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contained within the specified bounding box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over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request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-response exchange.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FE3A2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The Provider </w:t>
            </w:r>
            <w:r w:rsidR="00185D9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must respond that he has successfully performed the requested filtering, but that no items</w:t>
            </w:r>
            <w:r w:rsidR="00BD41C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lie </w:t>
            </w:r>
            <w:r w:rsidR="00270B60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within the bounding box specified by the Consumer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lastRenderedPageBreak/>
              <w:t>Test Outputs</w:t>
            </w:r>
          </w:p>
        </w:tc>
        <w:tc>
          <w:tcPr>
            <w:tcW w:w="8668" w:type="dxa"/>
          </w:tcPr>
          <w:p w:rsidR="00A77479" w:rsidRPr="00A12AE2" w:rsidRDefault="005C53CA" w:rsidP="00185D97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Verification that the </w:t>
            </w:r>
            <w:r w:rsidR="00185D9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(empty)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info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rmation associated with the </w:t>
            </w:r>
            <w:r w:rsidR="00BD41C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specified bounding box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is received correctly.</w:t>
            </w:r>
            <w:r w:rsidR="00BD41C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 The set of information contained within the bounding box </w:t>
            </w:r>
            <w:r w:rsidR="00185D9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must</w:t>
            </w:r>
            <w:r w:rsidR="00BD41C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be empty.</w:t>
            </w:r>
            <w:r w:rsidR="00185D9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 The Consumer should receive an indication that his filter has been performed successfully, but that no items satisfy his filter criteria.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8668" w:type="dxa"/>
          </w:tcPr>
          <w:p w:rsidR="00DA4477" w:rsidRPr="00A12AE2" w:rsidRDefault="007B14B4" w:rsidP="009723FD">
            <w:pPr>
              <w:spacing w:after="6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MIP4_Request_Response_Exchange_Pattern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REQ_SYS_0021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REQ_EM_0012</w:t>
            </w:r>
          </w:p>
        </w:tc>
      </w:tr>
    </w:tbl>
    <w:p w:rsidR="00304890" w:rsidRPr="00A12AE2" w:rsidRDefault="00304890">
      <w:pPr>
        <w:rPr>
          <w:rFonts w:ascii="Arial" w:hAnsi="Arial" w:cs="Arial"/>
          <w:sz w:val="22"/>
        </w:rPr>
      </w:pPr>
      <w:r w:rsidRPr="00A12AE2">
        <w:rPr>
          <w:rFonts w:ascii="Arial" w:hAnsi="Arial" w:cs="Arial"/>
        </w:rPr>
        <w:br w:type="page"/>
      </w:r>
    </w:p>
    <w:p w:rsidR="00A77479" w:rsidRPr="00A12AE2" w:rsidRDefault="00A77479" w:rsidP="00304890">
      <w:pPr>
        <w:pStyle w:val="Title"/>
        <w:jc w:val="left"/>
      </w:pPr>
      <w:bookmarkStart w:id="0" w:name="_Toc500669321"/>
      <w:bookmarkStart w:id="1" w:name="_Toc500669481"/>
      <w:bookmarkStart w:id="2" w:name="_GoBack"/>
      <w:r w:rsidRPr="00A12AE2">
        <w:lastRenderedPageBreak/>
        <w:t>Test Procedure</w:t>
      </w:r>
      <w:bookmarkEnd w:id="0"/>
      <w:bookmarkEnd w:id="1"/>
    </w:p>
    <w:p w:rsidR="00474C1E" w:rsidRPr="00A12AE2" w:rsidRDefault="00474C1E" w:rsidP="00304890">
      <w:pPr>
        <w:pStyle w:val="Title"/>
        <w:jc w:val="left"/>
      </w:pPr>
    </w:p>
    <w:tbl>
      <w:tblPr>
        <w:tblpPr w:leftFromText="180" w:rightFromText="180" w:vertAnchor="page" w:horzAnchor="margin" w:tblpY="126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713"/>
        <w:gridCol w:w="3679"/>
        <w:gridCol w:w="959"/>
        <w:gridCol w:w="992"/>
      </w:tblGrid>
      <w:tr w:rsidR="006F56AE" w:rsidRPr="00A12AE2" w:rsidTr="006F56AE"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Step</w:t>
            </w:r>
          </w:p>
        </w:tc>
        <w:tc>
          <w:tcPr>
            <w:tcW w:w="4713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Src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Dst</w:t>
            </w:r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185D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 xml:space="preserve">Consumer (1) requests 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information about </w:t>
            </w:r>
            <w:r w:rsidRPr="00A12AE2">
              <w:rPr>
                <w:rFonts w:ascii="Arial" w:hAnsi="Arial" w:cs="Arial"/>
                <w:sz w:val="24"/>
                <w:szCs w:val="24"/>
              </w:rPr>
              <w:t>item</w:t>
            </w:r>
            <w:r w:rsidR="004B71F1" w:rsidRPr="00A12AE2">
              <w:rPr>
                <w:rFonts w:ascii="Arial" w:hAnsi="Arial" w:cs="Arial"/>
                <w:sz w:val="24"/>
                <w:szCs w:val="24"/>
              </w:rPr>
              <w:t>s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contained </w:t>
            </w:r>
            <w:r w:rsidR="00185D97">
              <w:rPr>
                <w:rFonts w:ascii="Arial" w:hAnsi="Arial" w:cs="Arial"/>
                <w:sz w:val="24"/>
                <w:szCs w:val="24"/>
              </w:rPr>
              <w:t>within a bounding box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from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Provider (2) 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using a </w:t>
            </w:r>
            <w:r w:rsidR="00185D97">
              <w:rPr>
                <w:rFonts w:ascii="Arial" w:hAnsi="Arial" w:cs="Arial"/>
                <w:sz w:val="24"/>
                <w:szCs w:val="24"/>
              </w:rPr>
              <w:t>Request/Response exchange</w:t>
            </w:r>
            <w:r w:rsidRPr="00A12AE2">
              <w:rPr>
                <w:rFonts w:ascii="Arial" w:hAnsi="Arial" w:cs="Arial"/>
                <w:sz w:val="24"/>
                <w:szCs w:val="24"/>
              </w:rPr>
              <w:t>.</w:t>
            </w:r>
            <w:r w:rsidR="00A019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90C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receives and interprets request correctly.</w:t>
            </w:r>
            <w:r w:rsidR="00A019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90C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185D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sends requested information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(w</w:t>
            </w:r>
            <w:r w:rsidR="00185D97">
              <w:rPr>
                <w:rFonts w:ascii="Arial" w:hAnsi="Arial" w:cs="Arial"/>
                <w:sz w:val="24"/>
                <w:szCs w:val="24"/>
              </w:rPr>
              <w:t>h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>ether</w:t>
            </w:r>
            <w:r w:rsidR="00185D97">
              <w:rPr>
                <w:rFonts w:ascii="Arial" w:hAnsi="Arial" w:cs="Arial"/>
                <w:sz w:val="24"/>
                <w:szCs w:val="24"/>
              </w:rPr>
              <w:t xml:space="preserve"> bounding box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"contains" items; </w:t>
            </w:r>
            <w:r w:rsidR="00185D97">
              <w:rPr>
                <w:rFonts w:ascii="Arial" w:hAnsi="Arial" w:cs="Arial"/>
                <w:sz w:val="24"/>
                <w:szCs w:val="24"/>
              </w:rPr>
              <w:t>bounding box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does not "contain" items)</w:t>
            </w:r>
            <w:r w:rsidR="00AF001B" w:rsidRPr="00A12AE2">
              <w:rPr>
                <w:rFonts w:ascii="Arial" w:hAnsi="Arial" w:cs="Arial"/>
                <w:sz w:val="24"/>
                <w:szCs w:val="24"/>
              </w:rPr>
              <w:t>.   Consumer receives and interprets requested data</w:t>
            </w:r>
            <w:r w:rsidR="0082056C" w:rsidRPr="00A12AE2"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A019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5D97">
              <w:rPr>
                <w:rFonts w:ascii="Arial" w:hAnsi="Arial" w:cs="Arial"/>
                <w:sz w:val="24"/>
                <w:szCs w:val="24"/>
              </w:rPr>
              <w:t xml:space="preserve">For this test, the bounding box must not contain items. </w:t>
            </w:r>
            <w:r w:rsidR="00A0190C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AF001B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Requested data is received and interpreted correctly.</w:t>
            </w:r>
            <w:r w:rsidR="00A019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90C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45ED1" w:rsidRPr="00A12AE2" w:rsidRDefault="00645ED1" w:rsidP="00645ED1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  <w:bookmarkEnd w:id="2"/>
      <w:r w:rsidRPr="00A12AE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45ED1" w:rsidRPr="00A12AE2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Comment</w:t>
            </w:r>
          </w:p>
        </w:tc>
      </w:tr>
      <w:tr w:rsidR="00645ED1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45ED1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 xml:space="preserve">0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A12AE2">
              <w:rPr>
                <w:rFonts w:cs="Arial"/>
                <w:lang w:val="en-GB"/>
              </w:rPr>
              <w:br/>
              <w:t xml:space="preserve">1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45ED1" w:rsidRPr="002E2964" w:rsidRDefault="00645ED1" w:rsidP="00645ED1">
      <w:pPr>
        <w:pStyle w:val="AbsatzA"/>
        <w:ind w:left="0"/>
        <w:rPr>
          <w:rFonts w:cs="Arial"/>
        </w:rPr>
      </w:pPr>
    </w:p>
    <w:p w:rsidR="00A77479" w:rsidRPr="002E2964" w:rsidRDefault="00A77479">
      <w:pPr>
        <w:pStyle w:val="AbsatzA"/>
        <w:ind w:left="0"/>
        <w:rPr>
          <w:rFonts w:cs="Arial"/>
        </w:rPr>
      </w:pPr>
    </w:p>
    <w:sectPr w:rsidR="00A77479" w:rsidRPr="002E2964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B28" w:rsidRDefault="00546B28">
      <w:r>
        <w:separator/>
      </w:r>
    </w:p>
  </w:endnote>
  <w:endnote w:type="continuationSeparator" w:id="0">
    <w:p w:rsidR="00546B28" w:rsidRDefault="00546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90" w:rsidRDefault="00966E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90" w:rsidRDefault="00966E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7D7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B28" w:rsidRDefault="00546B28">
      <w:r>
        <w:separator/>
      </w:r>
    </w:p>
  </w:footnote>
  <w:footnote w:type="continuationSeparator" w:id="0">
    <w:p w:rsidR="00546B28" w:rsidRDefault="00546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D513B"/>
    <w:rsid w:val="000E2D97"/>
    <w:rsid w:val="001335A8"/>
    <w:rsid w:val="00153EE2"/>
    <w:rsid w:val="00174A82"/>
    <w:rsid w:val="00185D97"/>
    <w:rsid w:val="00191915"/>
    <w:rsid w:val="00262FB9"/>
    <w:rsid w:val="00270B60"/>
    <w:rsid w:val="002C1EC2"/>
    <w:rsid w:val="002E1EC2"/>
    <w:rsid w:val="002E2964"/>
    <w:rsid w:val="002E77E3"/>
    <w:rsid w:val="003009FE"/>
    <w:rsid w:val="00304890"/>
    <w:rsid w:val="00345246"/>
    <w:rsid w:val="00357E43"/>
    <w:rsid w:val="003D7873"/>
    <w:rsid w:val="003D791F"/>
    <w:rsid w:val="004105E3"/>
    <w:rsid w:val="00463A29"/>
    <w:rsid w:val="00474C1E"/>
    <w:rsid w:val="00487EF0"/>
    <w:rsid w:val="004A613E"/>
    <w:rsid w:val="004A6E4B"/>
    <w:rsid w:val="004B71F1"/>
    <w:rsid w:val="00546B28"/>
    <w:rsid w:val="00553EA2"/>
    <w:rsid w:val="005661C5"/>
    <w:rsid w:val="005A4D32"/>
    <w:rsid w:val="005A6051"/>
    <w:rsid w:val="005C53CA"/>
    <w:rsid w:val="005D41F8"/>
    <w:rsid w:val="005D45EE"/>
    <w:rsid w:val="005D59C4"/>
    <w:rsid w:val="00601F53"/>
    <w:rsid w:val="00645ED1"/>
    <w:rsid w:val="006608BA"/>
    <w:rsid w:val="0066166E"/>
    <w:rsid w:val="00695040"/>
    <w:rsid w:val="006C4374"/>
    <w:rsid w:val="006D6C2F"/>
    <w:rsid w:val="006E5977"/>
    <w:rsid w:val="006F56AE"/>
    <w:rsid w:val="00711E4A"/>
    <w:rsid w:val="00716DD5"/>
    <w:rsid w:val="00760776"/>
    <w:rsid w:val="007B14B4"/>
    <w:rsid w:val="007F185C"/>
    <w:rsid w:val="007F1CC9"/>
    <w:rsid w:val="007F3DFB"/>
    <w:rsid w:val="007F415B"/>
    <w:rsid w:val="0082056C"/>
    <w:rsid w:val="008951E2"/>
    <w:rsid w:val="008D4673"/>
    <w:rsid w:val="008D563F"/>
    <w:rsid w:val="008D5FBB"/>
    <w:rsid w:val="008E099B"/>
    <w:rsid w:val="008E5E20"/>
    <w:rsid w:val="008F1704"/>
    <w:rsid w:val="009341E2"/>
    <w:rsid w:val="00934C74"/>
    <w:rsid w:val="00951966"/>
    <w:rsid w:val="0095214E"/>
    <w:rsid w:val="009568E1"/>
    <w:rsid w:val="00966E90"/>
    <w:rsid w:val="009723FD"/>
    <w:rsid w:val="009C1D4D"/>
    <w:rsid w:val="009D7B94"/>
    <w:rsid w:val="00A0190C"/>
    <w:rsid w:val="00A12AE2"/>
    <w:rsid w:val="00A434FC"/>
    <w:rsid w:val="00A5468D"/>
    <w:rsid w:val="00A63B76"/>
    <w:rsid w:val="00A77479"/>
    <w:rsid w:val="00A81B42"/>
    <w:rsid w:val="00AA3298"/>
    <w:rsid w:val="00AB5E62"/>
    <w:rsid w:val="00AE5488"/>
    <w:rsid w:val="00AE7E5A"/>
    <w:rsid w:val="00AF001B"/>
    <w:rsid w:val="00B814A4"/>
    <w:rsid w:val="00BD41C5"/>
    <w:rsid w:val="00BF6EC7"/>
    <w:rsid w:val="00C2443B"/>
    <w:rsid w:val="00CC3432"/>
    <w:rsid w:val="00CE4610"/>
    <w:rsid w:val="00CF19C5"/>
    <w:rsid w:val="00D40502"/>
    <w:rsid w:val="00D762A4"/>
    <w:rsid w:val="00DA4477"/>
    <w:rsid w:val="00E256DD"/>
    <w:rsid w:val="00E74EC9"/>
    <w:rsid w:val="00E84A28"/>
    <w:rsid w:val="00F25BB2"/>
    <w:rsid w:val="00F607EC"/>
    <w:rsid w:val="00F739BF"/>
    <w:rsid w:val="00F805F7"/>
    <w:rsid w:val="00FA7D77"/>
    <w:rsid w:val="00FD08DB"/>
    <w:rsid w:val="00FE3A22"/>
    <w:rsid w:val="00F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141CA8-11B8-48D6-96E3-CE0C4250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pPr>
      <w:spacing w:before="0" w:after="0"/>
    </w:pPr>
  </w:style>
  <w:style w:type="paragraph" w:styleId="TOC3">
    <w:name w:val="toc 3"/>
    <w:basedOn w:val="TOC2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itle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Heading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2D8319-B22F-42D1-B4D4-E00C374F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MIP Technical Test Specification Level 1 Set 1</vt:lpstr>
      <vt:lpstr>MIP Technical Test Specification Level 1 Set 1</vt:lpstr>
    </vt:vector>
  </TitlesOfParts>
  <Company>MIP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Smith12/4/2016</dc:description>
  <cp:lastModifiedBy>User1</cp:lastModifiedBy>
  <cp:revision>26</cp:revision>
  <cp:lastPrinted>2015-11-11T10:08:00Z</cp:lastPrinted>
  <dcterms:created xsi:type="dcterms:W3CDTF">2016-04-12T09:26:00Z</dcterms:created>
  <dcterms:modified xsi:type="dcterms:W3CDTF">2017-05-09T08:48:00Z</dcterms:modified>
</cp:coreProperties>
</file>