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B2184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B21842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E230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Subscribe using a filter on a </w:t>
            </w:r>
            <w:r w:rsidR="00E230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multiple</w:t>
            </w: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topic</w:t>
            </w:r>
            <w:r w:rsidR="00E230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using </w:t>
            </w:r>
            <w:proofErr w:type="spellStart"/>
            <w:r w:rsidR="00B218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FullTopicExpression</w:t>
            </w:r>
            <w:proofErr w:type="spellEnd"/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E230D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a </w:t>
            </w:r>
            <w:r w:rsidR="00E230D8">
              <w:rPr>
                <w:rFonts w:ascii="Arial" w:hAnsi="Arial" w:cs="Arial"/>
                <w:sz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lang w:val="en-GB"/>
              </w:rPr>
              <w:t xml:space="preserve"> topic</w:t>
            </w:r>
            <w:r w:rsidR="00E230D8">
              <w:rPr>
                <w:rFonts w:ascii="Arial" w:hAnsi="Arial" w:cs="Arial"/>
                <w:sz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lang w:val="en-GB"/>
              </w:rPr>
              <w:t xml:space="preserve"> provided by the Provider.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E230D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 multiple topics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of the topics requested.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receiving regular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asynchronous updates of the requested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from the Producer.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is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subscription with the termination time will have timed out and the </w:t>
            </w:r>
            <w:r w:rsidR="009F531E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will have unsubscribed from the subscription without a specified duration.  Once the Producer has successfully destroyed the subscriptions, the test is complete.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372C4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proofErr w:type="spellStart"/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A02C00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topics requested to the Consumer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topics.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and requests a subscription 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Filter is specified using topic “contains” items.</w:t>
            </w:r>
          </w:p>
          <w:p w:rsidR="00E34F2E" w:rsidRDefault="00E34F2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34F2E" w:rsidRDefault="00E34F2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 but specifies his filter using topic “does not contain” items.</w:t>
            </w: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54765D" w:rsidRDefault="0054765D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multiple </w:t>
            </w:r>
            <w:r w:rsidR="00093DF5">
              <w:rPr>
                <w:rFonts w:ascii="Arial" w:hAnsi="Arial" w:cs="Arial"/>
                <w:sz w:val="24"/>
                <w:szCs w:val="24"/>
                <w:lang w:val="en-GB"/>
              </w:rPr>
              <w:t xml:space="preserve">different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opic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 and requests a termination time for the subscription.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Default="0059405E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receives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two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subscription 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(one using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topic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“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contains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and one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using topic “does not contain”) and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third </w:t>
            </w:r>
            <w:r w:rsidR="005A5D70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>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for multiple topics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desired termination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 All use </w:t>
            </w:r>
            <w:proofErr w:type="spellStart"/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proofErr w:type="spellEnd"/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</w:t>
            </w: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 xml:space="preserve">specified filters.  If it does, the Producer sends a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3D3953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3D3953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wsn-b:ConsumerReference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 notification to the Consumer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DE2CAF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>The Consumer processes the data contained in the messages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184116" w:rsidRDefault="00890F31" w:rsidP="00184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890F31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Consumer renews</w:t>
            </w:r>
            <w:r w:rsidR="00727F92" w:rsidRPr="003D3953">
              <w:rPr>
                <w:rFonts w:ascii="Arial" w:hAnsi="Arial" w:cs="Arial"/>
                <w:sz w:val="24"/>
                <w:szCs w:val="24"/>
              </w:rPr>
              <w:t xml:space="preserve"> subscription with termination time prior to expiration</w:t>
            </w:r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B767B0"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="00B767B0" w:rsidRPr="003D3953">
              <w:rPr>
                <w:rFonts w:ascii="Arial" w:hAnsi="Arial" w:cs="Arial"/>
                <w:sz w:val="24"/>
                <w:szCs w:val="24"/>
              </w:rPr>
              <w:t>:Renew</w:t>
            </w:r>
            <w:proofErr w:type="spellEnd"/>
            <w:proofErr w:type="gramEnd"/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with the </w:t>
            </w:r>
            <w:proofErr w:type="spellStart"/>
            <w:r w:rsidR="00B767B0" w:rsidRPr="003D3953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and a new expected termination time.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727F92" w:rsidP="00B767B0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</w:t>
            </w:r>
            <w:r w:rsidR="003B4F08" w:rsidRPr="003D3953">
              <w:rPr>
                <w:rFonts w:ascii="Arial" w:hAnsi="Arial" w:cs="Arial"/>
                <w:sz w:val="24"/>
                <w:szCs w:val="24"/>
              </w:rPr>
              <w:t xml:space="preserve">successfully 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renews subscription to new </w:t>
            </w:r>
            <w:r w:rsidR="00B767B0" w:rsidRPr="003D3953">
              <w:rPr>
                <w:rFonts w:ascii="Arial" w:hAnsi="Arial" w:cs="Arial"/>
                <w:sz w:val="24"/>
                <w:szCs w:val="24"/>
              </w:rPr>
              <w:t>termination time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727F92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727F92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767B0" w:rsidRPr="008200D6" w:rsidTr="00A02C00">
        <w:tc>
          <w:tcPr>
            <w:tcW w:w="0" w:type="auto"/>
            <w:tcBorders>
              <w:right w:val="nil"/>
            </w:tcBorders>
          </w:tcPr>
          <w:p w:rsidR="00B767B0" w:rsidRDefault="00B767B0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55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confirms subscription renewed to Consumer.</w:t>
            </w: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continuously sends notifications to the Consumer until the Consumer unsubscribes or the subscription expires.</w:t>
            </w: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with termination time expires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renewed to new termination time.</w:t>
            </w: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E12C4" w:rsidRDefault="005E12C4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sends notifications.</w:t>
            </w: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raises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ResourceUnknownFault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according to WS-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BaseNotification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[Ref-6]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513655" w:rsidRDefault="00513655" w:rsidP="005940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945B8" w:rsidRPr="008200D6" w:rsidTr="00A02C00">
        <w:tc>
          <w:tcPr>
            <w:tcW w:w="0" w:type="auto"/>
            <w:tcBorders>
              <w:right w:val="nil"/>
            </w:tcBorders>
          </w:tcPr>
          <w:p w:rsidR="001945B8" w:rsidRDefault="006D3A1B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1945B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5E12C4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5E12C4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5E12C4">
              <w:rPr>
                <w:rFonts w:ascii="Arial" w:hAnsi="Arial" w:cs="Arial"/>
                <w:sz w:val="24"/>
                <w:szCs w:val="24"/>
              </w:rPr>
              <w:t xml:space="preserve"> operation with the </w:t>
            </w:r>
            <w:proofErr w:type="spellStart"/>
            <w:r w:rsidRPr="005E12C4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Pr="005E12C4">
              <w:rPr>
                <w:rFonts w:ascii="Arial" w:hAnsi="Arial" w:cs="Arial"/>
                <w:sz w:val="24"/>
                <w:szCs w:val="24"/>
              </w:rPr>
              <w:t xml:space="preserve"> issued from the initial Subscribe response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1945B8" w:rsidRPr="005E12C4" w:rsidRDefault="001945B8" w:rsidP="001945B8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Producer tries to destroy the corresponding subscription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  If Producer cannot destroy the subscription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it sends a fault message to the Consumer.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989" w:rsidRDefault="004A4989">
      <w:r>
        <w:separator/>
      </w:r>
    </w:p>
  </w:endnote>
  <w:endnote w:type="continuationSeparator" w:id="0">
    <w:p w:rsidR="004A4989" w:rsidRDefault="004A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629E4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989" w:rsidRDefault="004A4989">
      <w:r>
        <w:separator/>
      </w:r>
    </w:p>
  </w:footnote>
  <w:footnote w:type="continuationSeparator" w:id="0">
    <w:p w:rsidR="004A4989" w:rsidRDefault="004A4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E7D3A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2C41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4989"/>
    <w:rsid w:val="004A613E"/>
    <w:rsid w:val="004B5A99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29E4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C610D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678AD"/>
    <w:rsid w:val="00A77479"/>
    <w:rsid w:val="00A8055D"/>
    <w:rsid w:val="00A81B42"/>
    <w:rsid w:val="00A94F50"/>
    <w:rsid w:val="00A961BF"/>
    <w:rsid w:val="00AB173D"/>
    <w:rsid w:val="00AC6222"/>
    <w:rsid w:val="00AC6868"/>
    <w:rsid w:val="00AD352C"/>
    <w:rsid w:val="00AE5488"/>
    <w:rsid w:val="00B21842"/>
    <w:rsid w:val="00B222DB"/>
    <w:rsid w:val="00B767B0"/>
    <w:rsid w:val="00B814A4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73341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565CE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E11E8-9907-43F6-AFAC-7BD38B3C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802</Words>
  <Characters>4412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6</cp:revision>
  <cp:lastPrinted>2015-11-11T10:08:00Z</cp:lastPrinted>
  <dcterms:created xsi:type="dcterms:W3CDTF">2016-04-13T09:20:00Z</dcterms:created>
  <dcterms:modified xsi:type="dcterms:W3CDTF">2016-10-24T08:31:00Z</dcterms:modified>
</cp:coreProperties>
</file>