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6237FA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MIP4SLT1_113</w:t>
            </w:r>
            <w:r w:rsidR="006237FA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6237FA" w:rsidRDefault="006237FA" w:rsidP="006237FA">
            <w:pPr>
              <w:shd w:val="clear" w:color="auto" w:fill="FFFFFF"/>
              <w:spacing w:line="195" w:lineRule="atLeast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237FA">
              <w:rPr>
                <w:rFonts w:ascii="Arial" w:hAnsi="Arial" w:cs="Arial"/>
                <w:sz w:val="24"/>
                <w:szCs w:val="24"/>
                <w:lang w:val="en-NZ" w:eastAsia="en-NZ"/>
              </w:rPr>
              <w:t>Subscribe using a filter on bounding box (bounding box contains items)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1E60A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</w:t>
            </w:r>
            <w:r w:rsidR="002E7D9E">
              <w:rPr>
                <w:rFonts w:ascii="Arial" w:hAnsi="Arial" w:cs="Arial"/>
                <w:sz w:val="24"/>
                <w:lang w:val="en-GB"/>
              </w:rPr>
              <w:t>messages</w:t>
            </w:r>
            <w:r>
              <w:rPr>
                <w:rFonts w:ascii="Arial" w:hAnsi="Arial" w:cs="Arial"/>
                <w:sz w:val="24"/>
                <w:lang w:val="en-GB"/>
              </w:rPr>
              <w:t xml:space="preserve"> provided by the Provider</w:t>
            </w:r>
            <w:r w:rsidR="002E7D9E">
              <w:rPr>
                <w:rFonts w:ascii="Arial" w:hAnsi="Arial" w:cs="Arial"/>
                <w:sz w:val="24"/>
                <w:lang w:val="en-GB"/>
              </w:rPr>
              <w:t xml:space="preserve"> which </w:t>
            </w:r>
            <w:bookmarkStart w:id="0" w:name="_GoBack"/>
            <w:bookmarkEnd w:id="0"/>
            <w:r w:rsidR="002F00A8">
              <w:rPr>
                <w:rFonts w:ascii="Arial" w:hAnsi="Arial" w:cs="Arial"/>
                <w:sz w:val="24"/>
                <w:lang w:val="en-GB"/>
              </w:rPr>
              <w:t>involve objects located</w:t>
            </w:r>
            <w:r w:rsidR="002E7D9E">
              <w:rPr>
                <w:rFonts w:ascii="Arial" w:hAnsi="Arial" w:cs="Arial"/>
                <w:sz w:val="24"/>
                <w:lang w:val="en-GB"/>
              </w:rPr>
              <w:t xml:space="preserve"> within a specified bounding box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C471C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</w:t>
            </w:r>
            <w:r w:rsidR="00E230D8">
              <w:rPr>
                <w:rFonts w:ascii="Arial" w:hAnsi="Arial" w:cs="Arial"/>
                <w:sz w:val="24"/>
                <w:szCs w:val="24"/>
                <w:lang w:val="en-GB"/>
              </w:rPr>
              <w:t xml:space="preserve"> on multiple topics</w:t>
            </w: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 xml:space="preserve">  He </w:t>
            </w:r>
            <w:r w:rsidR="00C471CD">
              <w:rPr>
                <w:rFonts w:ascii="Arial" w:hAnsi="Arial" w:cs="Arial"/>
                <w:sz w:val="24"/>
                <w:szCs w:val="24"/>
                <w:lang w:val="en-GB"/>
              </w:rPr>
              <w:t xml:space="preserve">wishes to receive only </w:t>
            </w:r>
            <w:r w:rsidR="002E7D9E">
              <w:rPr>
                <w:rFonts w:ascii="Arial" w:hAnsi="Arial" w:cs="Arial"/>
                <w:sz w:val="24"/>
                <w:szCs w:val="24"/>
                <w:lang w:val="en-GB"/>
              </w:rPr>
              <w:t>messages involving objects which are located in a specific geographic area defined by a bounding box.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  <w:r w:rsidR="00E230D8">
              <w:rPr>
                <w:rFonts w:ascii="Arial" w:hAnsi="Arial" w:cs="Arial"/>
                <w:sz w:val="24"/>
              </w:rPr>
              <w:t xml:space="preserve">, </w:t>
            </w:r>
            <w:r w:rsidR="00E230D8" w:rsidRPr="003009FE">
              <w:rPr>
                <w:rFonts w:ascii="Arial" w:hAnsi="Arial" w:cs="Arial"/>
                <w:sz w:val="24"/>
              </w:rPr>
              <w:t>MIP4SLT</w:t>
            </w:r>
            <w:r w:rsidR="00E230D8">
              <w:rPr>
                <w:rFonts w:ascii="Arial" w:hAnsi="Arial" w:cs="Arial"/>
                <w:sz w:val="24"/>
              </w:rPr>
              <w:t>1</w:t>
            </w:r>
            <w:r w:rsidR="00E230D8" w:rsidRPr="003009FE">
              <w:rPr>
                <w:rFonts w:ascii="Arial" w:hAnsi="Arial" w:cs="Arial"/>
                <w:sz w:val="24"/>
              </w:rPr>
              <w:t>_</w:t>
            </w:r>
            <w:r w:rsidR="00E230D8">
              <w:rPr>
                <w:rFonts w:ascii="Arial" w:hAnsi="Arial" w:cs="Arial"/>
                <w:sz w:val="24"/>
              </w:rPr>
              <w:t>1130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6237FA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6237FA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MIP4.0 Publish/Subscribe Exchange Pattern Specification.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  <w:r w:rsidR="00E230D8">
              <w:rPr>
                <w:rFonts w:ascii="Arial" w:hAnsi="Arial" w:cs="Arial"/>
                <w:sz w:val="24"/>
                <w:lang w:val="en-GB"/>
              </w:rPr>
              <w:t xml:space="preserve">  The Producer system broadcasts at least some </w:t>
            </w:r>
            <w:r w:rsidR="00C471CD">
              <w:rPr>
                <w:rFonts w:ascii="Arial" w:hAnsi="Arial" w:cs="Arial"/>
                <w:sz w:val="24"/>
                <w:lang w:val="en-GB"/>
              </w:rPr>
              <w:t>topics involving objects which are located within the specified bounding box.</w:t>
            </w:r>
          </w:p>
          <w:p w:rsidR="000F300C" w:rsidRPr="008200D6" w:rsidRDefault="000F300C" w:rsidP="00A02C00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AD18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receiving 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 xml:space="preserve">from the Producer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regular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asynchronous updates 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>on one or more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topics</w:t>
            </w:r>
            <w:r w:rsidR="00AD180E">
              <w:rPr>
                <w:rFonts w:ascii="Arial" w:hAnsi="Arial" w:cs="Arial"/>
                <w:sz w:val="24"/>
                <w:szCs w:val="24"/>
                <w:lang w:val="en-GB"/>
              </w:rPr>
              <w:t xml:space="preserve"> involving objects located within the bounding box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231AB">
              <w:rPr>
                <w:rFonts w:ascii="Arial" w:hAnsi="Arial" w:cs="Arial"/>
                <w:sz w:val="24"/>
                <w:szCs w:val="24"/>
                <w:lang w:val="en-GB"/>
              </w:rPr>
              <w:t xml:space="preserve">  The data received in these updates is valid and complete.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 The subscription with the termination time will have timed out and the </w:t>
            </w:r>
            <w:r w:rsidR="009F531E">
              <w:rPr>
                <w:rFonts w:ascii="Arial" w:hAnsi="Arial" w:cs="Arial"/>
                <w:sz w:val="24"/>
                <w:szCs w:val="24"/>
                <w:lang w:val="en-GB"/>
              </w:rPr>
              <w:t>Consumer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 xml:space="preserve"> will have unsubscribed from the subscription without a specified duration.  Once the Producer has successfully destroyed the subscriptions, the test is complete.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372C4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1" w:name="_Toc500669321"/>
      <w:bookmarkStart w:id="2" w:name="_Toc500669481"/>
      <w:r w:rsidRPr="008200D6">
        <w:lastRenderedPageBreak/>
        <w:t>Test Procedure</w:t>
      </w:r>
      <w:bookmarkEnd w:id="1"/>
      <w:bookmarkEnd w:id="2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8200D6" w:rsidTr="009F1578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BodyTextIndent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D704AD" w:rsidRPr="008200D6" w:rsidTr="009F1578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 </w:t>
            </w:r>
          </w:p>
          <w:p w:rsidR="00D704AD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</w:p>
          <w:p w:rsidR="0059405E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with parameters wsn: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,  wsn:FixedTopicSet, wsn:TopicExpressionDialect and wstop:TopicSet.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Pr="008200D6" w:rsidRDefault="00AD180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Consumer specifies a geographic filter defined by a valid bounding box.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AD180E" w:rsidRDefault="00AD180E" w:rsidP="00B222D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AD180E" w:rsidRPr="008D3589" w:rsidRDefault="00AD180E" w:rsidP="00AD180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 receives a valid geograhic filter request based on a valid bounding box.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9F1578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59405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topics requested to the Consumer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Consumer receives the requested topics.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processes the list of exposed topics, prepares a filter set,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and requests a subscription 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operation.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 xml:space="preserve">  Filter is specified using topic “contains”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 The Consumer specifies a geographic filter based on a valid bounding box.</w:t>
            </w:r>
          </w:p>
          <w:p w:rsidR="00E34F2E" w:rsidRDefault="00E34F2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E34F2E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 topics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wsn-b:Subscribe operation but specifies his filter using topic “does not contain” items.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specifies a geographic filter based on a valid bounding box.</w:t>
            </w:r>
          </w:p>
          <w:p w:rsidR="0054765D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1578" w:rsidRDefault="0054765D" w:rsidP="009F157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requests a subscription on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multiple </w:t>
            </w:r>
            <w:r w:rsidR="00093DF5">
              <w:rPr>
                <w:rFonts w:ascii="Arial" w:hAnsi="Arial" w:cs="Arial"/>
                <w:sz w:val="24"/>
                <w:szCs w:val="24"/>
                <w:lang w:val="en-GB"/>
              </w:rPr>
              <w:t xml:space="preserve">different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opic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 the Producer using the wsn-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>b:Subscribe operation and requests a termination time for the subscription.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9F1578">
              <w:rPr>
                <w:rFonts w:ascii="Arial" w:hAnsi="Arial" w:cs="Arial"/>
                <w:sz w:val="24"/>
                <w:szCs w:val="24"/>
                <w:lang w:val="en-GB"/>
              </w:rPr>
              <w:t>The Consumer specifies a geographic filter based on a valid bounding box.</w:t>
            </w:r>
          </w:p>
          <w:p w:rsidR="0054765D" w:rsidRDefault="005629E4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Default="0059405E" w:rsidP="00D017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lastRenderedPageBreak/>
              <w:t xml:space="preserve">Producer receives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two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subscription 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for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multiple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E34F2E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(one using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topic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“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>contains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>”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 </w:t>
            </w:r>
            <w:r w:rsidR="00D0176F">
              <w:rPr>
                <w:rFonts w:ascii="Arial" w:hAnsi="Arial" w:cs="Arial"/>
                <w:sz w:val="24"/>
                <w:szCs w:val="24"/>
                <w:lang w:val="en-GB"/>
              </w:rPr>
              <w:t xml:space="preserve">and one 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using topic “does not contain”) and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a 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third </w:t>
            </w:r>
            <w:r w:rsidR="005A5D70">
              <w:rPr>
                <w:rFonts w:ascii="Arial" w:hAnsi="Arial" w:cs="Arial"/>
                <w:sz w:val="24"/>
                <w:szCs w:val="24"/>
                <w:lang w:val="en-GB"/>
              </w:rPr>
              <w:t xml:space="preserve">subscription 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>request</w:t>
            </w:r>
            <w:r w:rsidR="00AB173D">
              <w:rPr>
                <w:rFonts w:ascii="Arial" w:hAnsi="Arial" w:cs="Arial"/>
                <w:sz w:val="24"/>
                <w:szCs w:val="24"/>
                <w:lang w:val="en-GB"/>
              </w:rPr>
              <w:t xml:space="preserve"> for multiple topics</w:t>
            </w:r>
            <w:r w:rsidR="0054765D"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desired termination time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 All use </w:t>
            </w:r>
            <w:r w:rsidR="00B21842">
              <w:rPr>
                <w:rFonts w:ascii="Arial" w:hAnsi="Arial" w:cs="Arial"/>
                <w:sz w:val="24"/>
                <w:szCs w:val="24"/>
                <w:lang w:val="en-GB"/>
              </w:rPr>
              <w:t>FullTopicExpression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59405E" w:rsidRPr="008200D6" w:rsidTr="009F1578">
        <w:tc>
          <w:tcPr>
            <w:tcW w:w="0" w:type="auto"/>
            <w:tcBorders>
              <w:right w:val="nil"/>
            </w:tcBorders>
          </w:tcPr>
          <w:p w:rsidR="0059405E" w:rsidRPr="0059405E" w:rsidRDefault="0059405E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9405E">
              <w:rPr>
                <w:rFonts w:ascii="Arial" w:hAnsi="Arial" w:cs="Arial"/>
                <w:sz w:val="22"/>
                <w:szCs w:val="22"/>
              </w:rPr>
              <w:lastRenderedPageBreak/>
              <w:t>4.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5E" w:rsidRPr="003D3953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accepts or rejects the subscription requests.</w:t>
            </w:r>
          </w:p>
          <w:p w:rsidR="00184116" w:rsidRPr="003D3953" w:rsidRDefault="00184116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59405E" w:rsidRDefault="00184116" w:rsidP="005A2F2B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wsn-b:Notify to the address specified in the wsn-b:ConsumerReference for </w:t>
            </w:r>
            <w:r w:rsidR="005A2F2B" w:rsidRPr="003D3953">
              <w:rPr>
                <w:rFonts w:ascii="Arial" w:hAnsi="Arial" w:cs="Arial"/>
                <w:sz w:val="24"/>
                <w:szCs w:val="24"/>
              </w:rPr>
              <w:t>EACH</w:t>
            </w:r>
            <w:r w:rsidRPr="003D3953">
              <w:rPr>
                <w:rFonts w:ascii="Arial" w:hAnsi="Arial" w:cs="Arial"/>
                <w:sz w:val="24"/>
                <w:szCs w:val="24"/>
              </w:rPr>
              <w:t xml:space="preserve"> matching subscription.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9405E" w:rsidRPr="003D3953" w:rsidRDefault="0054765D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accepts the requests.</w:t>
            </w: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184116" w:rsidRPr="003D3953" w:rsidRDefault="00184116" w:rsidP="00DE2CAF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Producer sends notification to the Consumer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A2F2B" w:rsidRPr="003D3953" w:rsidRDefault="005A2F2B" w:rsidP="00DE2CAF">
            <w:pPr>
              <w:rPr>
                <w:rFonts w:ascii="Arial" w:hAnsi="Arial" w:cs="Arial"/>
                <w:sz w:val="24"/>
                <w:szCs w:val="24"/>
              </w:rPr>
            </w:pPr>
          </w:p>
          <w:p w:rsidR="005A2F2B" w:rsidRPr="0059405E" w:rsidRDefault="005A2F2B" w:rsidP="00DE2CAF">
            <w:pPr>
              <w:rPr>
                <w:rFonts w:ascii="Arial" w:hAnsi="Arial" w:cs="Arial"/>
                <w:sz w:val="22"/>
                <w:szCs w:val="22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The Consumer processes the data contained in the messages</w:t>
            </w:r>
            <w:r w:rsidR="00511394">
              <w:rPr>
                <w:rFonts w:ascii="Arial" w:hAnsi="Arial" w:cs="Arial"/>
                <w:sz w:val="24"/>
                <w:szCs w:val="24"/>
              </w:rPr>
              <w:t xml:space="preserve"> using </w:t>
            </w:r>
            <w:r w:rsidR="00B21842">
              <w:rPr>
                <w:rFonts w:ascii="Arial" w:hAnsi="Arial" w:cs="Arial"/>
                <w:sz w:val="24"/>
                <w:szCs w:val="24"/>
              </w:rPr>
              <w:t>FullTopicExpression</w:t>
            </w:r>
            <w:r w:rsidRPr="003D3953">
              <w:rPr>
                <w:rFonts w:ascii="Arial" w:hAnsi="Arial" w:cs="Arial"/>
                <w:sz w:val="24"/>
                <w:szCs w:val="24"/>
              </w:rPr>
              <w:t>.</w:t>
            </w:r>
            <w:r w:rsidR="005629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29E4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Pr="00C664B8" w:rsidRDefault="0054765D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Pr="00184116" w:rsidRDefault="009F1578" w:rsidP="001841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continuously sends notifications to the Consumer until the Consumer unsubscribes or the subscription expires.</w:t>
            </w: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Subscription with termination time expires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sends notifications.</w:t>
            </w: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</w:p>
          <w:p w:rsidR="009F1578" w:rsidRPr="003D3953" w:rsidRDefault="009F1578" w:rsidP="00513655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Producer raises ResourceUnknownFault according to WS-BaseNotification[Ref-6]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9F1578" w:rsidRPr="003D3953" w:rsidRDefault="009F1578" w:rsidP="00B767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C664B8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3D3953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Consumer unsubscribes using wsn-b:Unsubscribe operation with the SubscriptionReference issued from the initial Subscribe response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Producer tries to destroy the corresponding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  If Producer cannot destroy the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it sends a fault message to the Consumer.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F1578" w:rsidRPr="003D3953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F1578" w:rsidRPr="008200D6" w:rsidTr="009F1578">
        <w:tc>
          <w:tcPr>
            <w:tcW w:w="0" w:type="auto"/>
            <w:tcBorders>
              <w:right w:val="nil"/>
            </w:tcBorders>
          </w:tcPr>
          <w:p w:rsidR="009F1578" w:rsidRDefault="009F1578" w:rsidP="0059405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9F1578" w:rsidRPr="005E12C4" w:rsidRDefault="009F1578" w:rsidP="001945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9F1578" w:rsidRPr="005E12C4" w:rsidRDefault="009F1578" w:rsidP="0059405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6237FA">
        <w:trPr>
          <w:trHeight w:val="284"/>
        </w:trPr>
        <w:tc>
          <w:tcPr>
            <w:tcW w:w="2660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6237FA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E83" w:rsidRDefault="00234E83">
      <w:r>
        <w:separator/>
      </w:r>
    </w:p>
  </w:endnote>
  <w:endnote w:type="continuationSeparator" w:id="0">
    <w:p w:rsidR="00234E83" w:rsidRDefault="0023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7FA" w:rsidRDefault="006237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60A4">
      <w:rPr>
        <w:rStyle w:val="PageNumber"/>
        <w:noProof/>
      </w:rPr>
      <w:t>3</w:t>
    </w:r>
    <w:r>
      <w:rPr>
        <w:rStyle w:val="PageNumber"/>
      </w:rPr>
      <w:fldChar w:fldCharType="end"/>
    </w:r>
  </w:p>
  <w:p w:rsidR="006237FA" w:rsidRDefault="006237FA">
    <w:pPr>
      <w:pStyle w:val="Footer"/>
    </w:pPr>
  </w:p>
  <w:p w:rsidR="006237FA" w:rsidRDefault="006237FA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E83" w:rsidRDefault="00234E83">
      <w:r>
        <w:separator/>
      </w:r>
    </w:p>
  </w:footnote>
  <w:footnote w:type="continuationSeparator" w:id="0">
    <w:p w:rsidR="00234E83" w:rsidRDefault="00234E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7FA" w:rsidRDefault="006237FA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6237FA" w:rsidRDefault="006237FA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 w15:restartNumberingAfterBreak="0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 w15:restartNumberingAfterBreak="0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E60A4"/>
    <w:rsid w:val="001E7D3A"/>
    <w:rsid w:val="002003F9"/>
    <w:rsid w:val="00234E83"/>
    <w:rsid w:val="00260A8B"/>
    <w:rsid w:val="00262FB9"/>
    <w:rsid w:val="002817C7"/>
    <w:rsid w:val="002B2B7A"/>
    <w:rsid w:val="002E1EC2"/>
    <w:rsid w:val="002E2964"/>
    <w:rsid w:val="002E4CB0"/>
    <w:rsid w:val="002E77E3"/>
    <w:rsid w:val="002E7D9E"/>
    <w:rsid w:val="002F00A8"/>
    <w:rsid w:val="00304884"/>
    <w:rsid w:val="00304890"/>
    <w:rsid w:val="00307ECE"/>
    <w:rsid w:val="003230AE"/>
    <w:rsid w:val="00353CFA"/>
    <w:rsid w:val="00372C41"/>
    <w:rsid w:val="00374C95"/>
    <w:rsid w:val="003A3ACF"/>
    <w:rsid w:val="003B4F08"/>
    <w:rsid w:val="003D3953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4989"/>
    <w:rsid w:val="004A613E"/>
    <w:rsid w:val="004B5A99"/>
    <w:rsid w:val="004D18AB"/>
    <w:rsid w:val="004D5115"/>
    <w:rsid w:val="004F186B"/>
    <w:rsid w:val="00501E8F"/>
    <w:rsid w:val="00505BB9"/>
    <w:rsid w:val="00511394"/>
    <w:rsid w:val="00513655"/>
    <w:rsid w:val="0054765D"/>
    <w:rsid w:val="00553EA2"/>
    <w:rsid w:val="00554DE3"/>
    <w:rsid w:val="005629E4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237FA"/>
    <w:rsid w:val="006608BA"/>
    <w:rsid w:val="0066166E"/>
    <w:rsid w:val="006B228A"/>
    <w:rsid w:val="006D3A1B"/>
    <w:rsid w:val="006D67BA"/>
    <w:rsid w:val="006E46BF"/>
    <w:rsid w:val="00721310"/>
    <w:rsid w:val="00727F92"/>
    <w:rsid w:val="00762F73"/>
    <w:rsid w:val="00774642"/>
    <w:rsid w:val="007C610D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0365B"/>
    <w:rsid w:val="00951966"/>
    <w:rsid w:val="0095214E"/>
    <w:rsid w:val="00963DAE"/>
    <w:rsid w:val="00966E90"/>
    <w:rsid w:val="009723FD"/>
    <w:rsid w:val="009962EB"/>
    <w:rsid w:val="009D7B94"/>
    <w:rsid w:val="009E37AC"/>
    <w:rsid w:val="009F1578"/>
    <w:rsid w:val="009F531E"/>
    <w:rsid w:val="00A02C00"/>
    <w:rsid w:val="00A10E3A"/>
    <w:rsid w:val="00A244A0"/>
    <w:rsid w:val="00A63B76"/>
    <w:rsid w:val="00A678AD"/>
    <w:rsid w:val="00A77479"/>
    <w:rsid w:val="00A8055D"/>
    <w:rsid w:val="00A81B42"/>
    <w:rsid w:val="00A94F50"/>
    <w:rsid w:val="00A961BF"/>
    <w:rsid w:val="00AB173D"/>
    <w:rsid w:val="00AC6222"/>
    <w:rsid w:val="00AC6868"/>
    <w:rsid w:val="00AD180E"/>
    <w:rsid w:val="00AD352C"/>
    <w:rsid w:val="00AE5488"/>
    <w:rsid w:val="00B21842"/>
    <w:rsid w:val="00B222DB"/>
    <w:rsid w:val="00B767B0"/>
    <w:rsid w:val="00B814A4"/>
    <w:rsid w:val="00BF6EC7"/>
    <w:rsid w:val="00BF7DF2"/>
    <w:rsid w:val="00C0459D"/>
    <w:rsid w:val="00C2148E"/>
    <w:rsid w:val="00C2443B"/>
    <w:rsid w:val="00C27AC5"/>
    <w:rsid w:val="00C3442A"/>
    <w:rsid w:val="00C471CD"/>
    <w:rsid w:val="00C602F7"/>
    <w:rsid w:val="00C664B8"/>
    <w:rsid w:val="00C73341"/>
    <w:rsid w:val="00CF19C5"/>
    <w:rsid w:val="00D0176F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565CE"/>
    <w:rsid w:val="00E90BD8"/>
    <w:rsid w:val="00EE0211"/>
    <w:rsid w:val="00EF6D5E"/>
    <w:rsid w:val="00F162A5"/>
    <w:rsid w:val="00F25BB2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00783F2-8518-4CBC-83F7-B2D89456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6C454-4D1C-452F-A592-95890395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5537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User1</cp:lastModifiedBy>
  <cp:revision>12</cp:revision>
  <cp:lastPrinted>2015-11-11T10:08:00Z</cp:lastPrinted>
  <dcterms:created xsi:type="dcterms:W3CDTF">2016-04-13T09:20:00Z</dcterms:created>
  <dcterms:modified xsi:type="dcterms:W3CDTF">2017-05-09T11:04:00Z</dcterms:modified>
</cp:coreProperties>
</file>