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42B97">
      <w:pPr>
        <w:spacing w:after="100"/>
        <w:jc w:val="center"/>
        <w:rPr>
          <w:color w:val="auto"/>
        </w:rPr>
      </w:pPr>
      <w:r>
        <w:rPr>
          <w:b/>
          <w:bCs/>
          <w:color w:val="auto"/>
          <w:sz w:val="36"/>
          <w:szCs w:val="36"/>
        </w:rPr>
        <w:t>Observatoire Intelligent des Prix Immobiliers</w:t>
      </w:r>
    </w:p>
    <w:p w14:paraId="6F406373">
      <w:pPr>
        <w:spacing w:after="100"/>
        <w:jc w:val="center"/>
      </w:pPr>
      <w:r>
        <w:rPr>
          <w:color w:val="555555"/>
          <w:sz w:val="24"/>
          <w:szCs w:val="24"/>
        </w:rPr>
        <w:t xml:space="preserve"> Partie Membre 6 : ML Engineer 1 (Modélisation)</w:t>
      </w:r>
    </w:p>
    <w:p w14:paraId="57010A49">
      <w:pPr>
        <w:pStyle w:val="2"/>
        <w:spacing w:before="300" w:after="150"/>
        <w:rPr>
          <w:color w:val="auto"/>
        </w:rPr>
      </w:pPr>
      <w:r>
        <w:rPr>
          <w:b/>
          <w:bCs/>
          <w:color w:val="auto"/>
          <w:sz w:val="30"/>
          <w:szCs w:val="30"/>
        </w:rPr>
        <w:t>1. Introduction</w:t>
      </w:r>
    </w:p>
    <w:p w14:paraId="4682BB35">
      <w:pPr>
        <w:spacing w:after="120"/>
      </w:pPr>
      <w:r>
        <w:rPr>
          <w:sz w:val="21"/>
          <w:szCs w:val="21"/>
        </w:rPr>
        <w:t>Ce document présente la contribution du rôle ML Engineer 1 au sein du projet Observatoire Intelligent des Prix Immobiliers. L'objectif de cette tâche est de construire un modèle de régression capable d'estimer le prix d'un bien immobilier marocain à partir de ses caractéristiques (surface, localisation, type de bien, etc.), à partir des données préparées et validées par les membres Data Engineering et Data Quality de l'équipe.</w:t>
      </w:r>
    </w:p>
    <w:p w14:paraId="7A23E757">
      <w:pPr>
        <w:pStyle w:val="2"/>
        <w:spacing w:before="300" w:after="150"/>
        <w:rPr>
          <w:color w:val="auto"/>
        </w:rPr>
      </w:pPr>
      <w:r>
        <w:rPr>
          <w:b/>
          <w:bCs/>
          <w:color w:val="auto"/>
          <w:sz w:val="30"/>
          <w:szCs w:val="30"/>
        </w:rPr>
        <w:t>2. Préparation des données</w:t>
      </w:r>
    </w:p>
    <w:p w14:paraId="2645BDCB">
      <w:pPr>
        <w:spacing w:after="120"/>
      </w:pPr>
      <w:r>
        <w:rPr>
          <w:sz w:val="21"/>
          <w:szCs w:val="21"/>
        </w:rPr>
        <w:t>Les données utilisées proviennent de la table stg_housing_listings, construite par le pipeline dbt de l'équipe (1197 annonces immobilières, 19 colonnes). Le traitement appliqué avant modélisation a consisté en :</w:t>
      </w:r>
    </w:p>
    <w:p w14:paraId="022E85C6">
      <w:pPr>
        <w:pStyle w:val="16"/>
        <w:numPr>
          <w:ilvl w:val="0"/>
          <w:numId w:val="1"/>
        </w:numPr>
        <w:spacing w:after="60"/>
      </w:pPr>
      <w:r>
        <w:rPr>
          <w:sz w:val="21"/>
          <w:szCs w:val="21"/>
        </w:rPr>
        <w:t>Suppression des lignes sans prix renseigné (price_mad) et des doublons ;</w:t>
      </w:r>
    </w:p>
    <w:p w14:paraId="098A8241">
      <w:pPr>
        <w:pStyle w:val="16"/>
        <w:numPr>
          <w:ilvl w:val="0"/>
          <w:numId w:val="1"/>
        </w:numPr>
        <w:spacing w:after="60"/>
      </w:pPr>
      <w:r>
        <w:rPr>
          <w:sz w:val="21"/>
          <w:szCs w:val="21"/>
        </w:rPr>
        <w:t>Filtrage des valeurs de prix aberrantes (inférieures à 50 000 MAD ou supérieures à 30 000 000 MAD), correspondant à des erreurs de saisie évidentes ;</w:t>
      </w:r>
    </w:p>
    <w:p w14:paraId="3D7D26E4">
      <w:pPr>
        <w:pStyle w:val="16"/>
        <w:numPr>
          <w:ilvl w:val="0"/>
          <w:numId w:val="1"/>
        </w:numPr>
        <w:spacing w:after="60"/>
      </w:pPr>
      <w:r>
        <w:rPr>
          <w:sz w:val="21"/>
          <w:szCs w:val="21"/>
        </w:rPr>
        <w:t>Exclusion des colonnes address, elevator, terrace et parking, renseignées sur moins de 2% des lignes (98% de valeurs manquantes) et donc inexploitables statistiquement ;</w:t>
      </w:r>
    </w:p>
    <w:p w14:paraId="7F237134">
      <w:pPr>
        <w:pStyle w:val="16"/>
        <w:numPr>
          <w:ilvl w:val="0"/>
          <w:numId w:val="1"/>
        </w:numPr>
        <w:spacing w:after="60"/>
      </w:pPr>
      <w:r>
        <w:rPr>
          <w:sz w:val="21"/>
          <w:szCs w:val="21"/>
        </w:rPr>
        <w:t>Exclusion de la colonne price_per_sqm_calculated, dérivée directement du prix (price_mad / surface_m2), dont l'utilisation comme variable explicative aurait introduit une fuite de données (data leakage) ;</w:t>
      </w:r>
    </w:p>
    <w:p w14:paraId="088261A4">
      <w:pPr>
        <w:pStyle w:val="16"/>
        <w:numPr>
          <w:ilvl w:val="0"/>
          <w:numId w:val="1"/>
        </w:numPr>
        <w:spacing w:after="60"/>
      </w:pPr>
      <w:r>
        <w:rPr>
          <w:sz w:val="21"/>
          <w:szCs w:val="21"/>
        </w:rPr>
        <w:t>Imputation par la médiane des 25 valeurs manquantes de la colonne rooms ;</w:t>
      </w:r>
    </w:p>
    <w:p w14:paraId="129122E5">
      <w:pPr>
        <w:pStyle w:val="16"/>
        <w:numPr>
          <w:ilvl w:val="0"/>
          <w:numId w:val="1"/>
        </w:numPr>
        <w:spacing w:after="60"/>
      </w:pPr>
      <w:r>
        <w:rPr>
          <w:sz w:val="21"/>
          <w:szCs w:val="21"/>
        </w:rPr>
        <w:t>Regroupement des modalités rares de la variable localisation (109 quartiers initialement, dont un grand nombre représentés par une seule annonce) en une catégorie "Autre" au-delà d'un seuil de 5 occurrences, ramenant la variable à 49 catégories afin de limiter la sparsité et le risque de surapprentissage.</w:t>
      </w:r>
    </w:p>
    <w:p w14:paraId="33B825B6">
      <w:pPr>
        <w:spacing w:after="120"/>
      </w:pPr>
      <w:r>
        <w:rPr>
          <w:sz w:val="21"/>
          <w:szCs w:val="21"/>
        </w:rPr>
        <w:t>Les variables finalement retenues comme features sont : surface_m2, bedrooms, bathrooms, floor, rooms (numériques), ainsi que city, property_type et localisation_grouped (catégorielles, encodées par One-Hot Encoding). La variable cible est price_mad.</w:t>
      </w:r>
    </w:p>
    <w:p w14:paraId="2FBDCB58">
      <w:pPr>
        <w:pStyle w:val="2"/>
        <w:spacing w:before="300" w:after="150"/>
        <w:rPr>
          <w:color w:val="auto"/>
        </w:rPr>
      </w:pPr>
      <w:r>
        <w:rPr>
          <w:b/>
          <w:bCs/>
          <w:color w:val="auto"/>
          <w:sz w:val="30"/>
          <w:szCs w:val="30"/>
        </w:rPr>
        <w:t>3. Modèles entraînés</w:t>
      </w:r>
    </w:p>
    <w:p w14:paraId="629438EB">
      <w:pPr>
        <w:spacing w:after="120"/>
      </w:pPr>
      <w:r>
        <w:rPr>
          <w:sz w:val="21"/>
          <w:szCs w:val="21"/>
        </w:rPr>
        <w:t>Trois modèles de régression ont été entraînés et comparés sur un découpage 80% train / 20% test (random_state=42 pour la reproductibilité) :</w:t>
      </w:r>
    </w:p>
    <w:p w14:paraId="38A15F0E">
      <w:pPr>
        <w:pStyle w:val="16"/>
        <w:numPr>
          <w:ilvl w:val="0"/>
          <w:numId w:val="1"/>
        </w:numPr>
        <w:spacing w:after="60"/>
      </w:pPr>
      <w:r>
        <w:rPr>
          <w:sz w:val="21"/>
          <w:szCs w:val="21"/>
        </w:rPr>
        <w:t>Linear Regression — modèle de référence (baseline) ;</w:t>
      </w:r>
    </w:p>
    <w:p w14:paraId="1E598DB2">
      <w:pPr>
        <w:pStyle w:val="16"/>
        <w:numPr>
          <w:ilvl w:val="0"/>
          <w:numId w:val="1"/>
        </w:numPr>
        <w:spacing w:after="60"/>
      </w:pPr>
      <w:r>
        <w:rPr>
          <w:sz w:val="21"/>
          <w:szCs w:val="21"/>
        </w:rPr>
        <w:t>Random Forest Regressor (200 arbres) ;</w:t>
      </w:r>
    </w:p>
    <w:p w14:paraId="2C315F5F">
      <w:pPr>
        <w:pStyle w:val="16"/>
        <w:numPr>
          <w:ilvl w:val="0"/>
          <w:numId w:val="1"/>
        </w:numPr>
        <w:spacing w:after="60"/>
      </w:pPr>
      <w:r>
        <w:rPr>
          <w:sz w:val="21"/>
          <w:szCs w:val="21"/>
        </w:rPr>
        <w:t>XGBoost Regressor (300 estimateurs, learning rate 0.05).</w:t>
      </w:r>
    </w:p>
    <w:p w14:paraId="4EA0A85C">
      <w:pPr>
        <w:spacing w:after="120"/>
      </w:pPr>
      <w:r>
        <w:rPr>
          <w:sz w:val="21"/>
          <w:szCs w:val="21"/>
        </w:rPr>
        <w:t>Chaque modèle a été intégré dans un pipeline scikit-learn combinant le prétraitement (encodage One-Hot) et l'estimateur, garantissant la reproductibilité du traitement entre l'entraînement et l'inférence.</w:t>
      </w:r>
    </w:p>
    <w:p w14:paraId="0A421858">
      <w:pPr>
        <w:pStyle w:val="2"/>
        <w:spacing w:before="300" w:after="150"/>
        <w:rPr>
          <w:color w:val="auto"/>
        </w:rPr>
      </w:pPr>
      <w:r>
        <w:rPr>
          <w:b/>
          <w:bCs/>
          <w:color w:val="auto"/>
          <w:sz w:val="30"/>
          <w:szCs w:val="30"/>
        </w:rPr>
        <w:t>4. Évaluation et comparaison des modèles</w:t>
      </w:r>
    </w:p>
    <w:p w14:paraId="66BA2BD0">
      <w:pPr>
        <w:spacing w:after="120"/>
        <w:rPr>
          <w:sz w:val="21"/>
          <w:szCs w:val="21"/>
        </w:rPr>
      </w:pPr>
      <w:r>
        <w:rPr>
          <w:sz w:val="21"/>
          <w:szCs w:val="21"/>
        </w:rPr>
        <w:t>Les performances ont été mesurées sur l'ensemble de test à l'aide de trois métriques : le RMSE (Root Mean Squared Error), le MAE (Mean Absolute Error) et le coefficient de détermination R².</w:t>
      </w:r>
    </w:p>
    <w:p w14:paraId="3197BA1B">
      <w:pPr>
        <w:spacing w:after="120"/>
        <w:rPr>
          <w:sz w:val="21"/>
          <w:szCs w:val="21"/>
        </w:rPr>
      </w:pPr>
    </w:p>
    <w:tbl>
      <w:tblPr>
        <w:tblStyle w:val="15"/>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400"/>
      </w:tblGrid>
      <w:tr w14:paraId="4636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000000" w:themeFill="text1"/>
            <w:tcMar>
              <w:top w:w="80" w:type="dxa"/>
              <w:left w:w="100" w:type="dxa"/>
              <w:bottom w:w="80" w:type="dxa"/>
              <w:right w:w="100" w:type="dxa"/>
            </w:tcMar>
          </w:tcPr>
          <w:p w14:paraId="7C3CAA38">
            <w:pPr>
              <w:jc w:val="center"/>
            </w:pPr>
            <w:r>
              <w:rPr>
                <w:b/>
                <w:bCs/>
                <w:color w:val="FFFFFF"/>
                <w:sz w:val="20"/>
                <w:szCs w:val="20"/>
              </w:rPr>
              <w:t>Modèle</w:t>
            </w:r>
          </w:p>
        </w:tc>
        <w:tc>
          <w:tcPr>
            <w:tcW w:w="2400" w:type="dxa"/>
            <w:shd w:val="clear" w:color="auto" w:fill="000000" w:themeFill="text1"/>
            <w:tcMar>
              <w:top w:w="80" w:type="dxa"/>
              <w:left w:w="100" w:type="dxa"/>
              <w:bottom w:w="80" w:type="dxa"/>
              <w:right w:w="100" w:type="dxa"/>
            </w:tcMar>
          </w:tcPr>
          <w:p w14:paraId="6D99AC1E">
            <w:pPr>
              <w:jc w:val="center"/>
            </w:pPr>
            <w:r>
              <w:rPr>
                <w:b/>
                <w:bCs/>
                <w:color w:val="FFFFFF"/>
                <w:sz w:val="20"/>
                <w:szCs w:val="20"/>
              </w:rPr>
              <w:t>RMSE (MAD)</w:t>
            </w:r>
          </w:p>
        </w:tc>
        <w:tc>
          <w:tcPr>
            <w:tcW w:w="2400" w:type="dxa"/>
            <w:shd w:val="clear" w:color="auto" w:fill="000000" w:themeFill="text1"/>
            <w:tcMar>
              <w:top w:w="80" w:type="dxa"/>
              <w:left w:w="100" w:type="dxa"/>
              <w:bottom w:w="80" w:type="dxa"/>
              <w:right w:w="100" w:type="dxa"/>
            </w:tcMar>
          </w:tcPr>
          <w:p w14:paraId="6F3B3E47">
            <w:pPr>
              <w:jc w:val="center"/>
            </w:pPr>
            <w:r>
              <w:rPr>
                <w:b/>
                <w:bCs/>
                <w:color w:val="FFFFFF"/>
                <w:sz w:val="20"/>
                <w:szCs w:val="20"/>
              </w:rPr>
              <w:t>MAE (MAD)</w:t>
            </w:r>
          </w:p>
        </w:tc>
        <w:tc>
          <w:tcPr>
            <w:tcW w:w="2400" w:type="dxa"/>
            <w:shd w:val="clear" w:color="auto" w:fill="000000" w:themeFill="text1"/>
            <w:tcMar>
              <w:top w:w="80" w:type="dxa"/>
              <w:left w:w="100" w:type="dxa"/>
              <w:bottom w:w="80" w:type="dxa"/>
              <w:right w:w="100" w:type="dxa"/>
            </w:tcMar>
          </w:tcPr>
          <w:p w14:paraId="490CDE26">
            <w:pPr>
              <w:jc w:val="center"/>
            </w:pPr>
            <w:r>
              <w:rPr>
                <w:b/>
                <w:bCs/>
                <w:color w:val="FFFFFF"/>
                <w:sz w:val="20"/>
                <w:szCs w:val="20"/>
              </w:rPr>
              <w:t>R²</w:t>
            </w:r>
          </w:p>
        </w:tc>
      </w:tr>
      <w:tr w14:paraId="4A6E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1D92527B">
            <w:pPr>
              <w:jc w:val="center"/>
            </w:pPr>
            <w:r>
              <w:rPr>
                <w:b w:val="0"/>
                <w:bCs w:val="0"/>
                <w:color w:val="000000"/>
                <w:sz w:val="20"/>
                <w:szCs w:val="20"/>
              </w:rPr>
              <w:t>XGBoost</w:t>
            </w:r>
          </w:p>
        </w:tc>
        <w:tc>
          <w:tcPr>
            <w:tcW w:w="2400" w:type="dxa"/>
            <w:shd w:val="clear" w:color="auto" w:fill="FFFFFF"/>
            <w:tcMar>
              <w:top w:w="80" w:type="dxa"/>
              <w:left w:w="100" w:type="dxa"/>
              <w:bottom w:w="80" w:type="dxa"/>
              <w:right w:w="100" w:type="dxa"/>
            </w:tcMar>
          </w:tcPr>
          <w:p w14:paraId="6A136036">
            <w:pPr>
              <w:jc w:val="center"/>
            </w:pPr>
            <w:r>
              <w:rPr>
                <w:b w:val="0"/>
                <w:bCs w:val="0"/>
                <w:color w:val="000000"/>
                <w:sz w:val="20"/>
                <w:szCs w:val="20"/>
              </w:rPr>
              <w:t>1 539 903</w:t>
            </w:r>
          </w:p>
        </w:tc>
        <w:tc>
          <w:tcPr>
            <w:tcW w:w="2400" w:type="dxa"/>
            <w:shd w:val="clear" w:color="auto" w:fill="FFFFFF"/>
            <w:tcMar>
              <w:top w:w="80" w:type="dxa"/>
              <w:left w:w="100" w:type="dxa"/>
              <w:bottom w:w="80" w:type="dxa"/>
              <w:right w:w="100" w:type="dxa"/>
            </w:tcMar>
          </w:tcPr>
          <w:p w14:paraId="232415A8">
            <w:pPr>
              <w:jc w:val="center"/>
            </w:pPr>
            <w:r>
              <w:rPr>
                <w:b w:val="0"/>
                <w:bCs w:val="0"/>
                <w:color w:val="000000"/>
                <w:sz w:val="20"/>
                <w:szCs w:val="20"/>
              </w:rPr>
              <w:t>825 580</w:t>
            </w:r>
          </w:p>
        </w:tc>
        <w:tc>
          <w:tcPr>
            <w:tcW w:w="2400" w:type="dxa"/>
            <w:shd w:val="clear" w:color="auto" w:fill="FFFFFF"/>
            <w:tcMar>
              <w:top w:w="80" w:type="dxa"/>
              <w:left w:w="100" w:type="dxa"/>
              <w:bottom w:w="80" w:type="dxa"/>
              <w:right w:w="100" w:type="dxa"/>
            </w:tcMar>
          </w:tcPr>
          <w:p w14:paraId="7449DF40">
            <w:pPr>
              <w:jc w:val="center"/>
            </w:pPr>
            <w:r>
              <w:rPr>
                <w:b w:val="0"/>
                <w:bCs w:val="0"/>
                <w:color w:val="000000"/>
                <w:sz w:val="20"/>
                <w:szCs w:val="20"/>
              </w:rPr>
              <w:t>0.900</w:t>
            </w:r>
          </w:p>
        </w:tc>
      </w:tr>
      <w:tr w14:paraId="3D68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1843C39F">
            <w:pPr>
              <w:jc w:val="center"/>
            </w:pPr>
            <w:r>
              <w:rPr>
                <w:b w:val="0"/>
                <w:bCs w:val="0"/>
                <w:color w:val="000000"/>
                <w:sz w:val="20"/>
                <w:szCs w:val="20"/>
              </w:rPr>
              <w:t>Linear Regression</w:t>
            </w:r>
          </w:p>
        </w:tc>
        <w:tc>
          <w:tcPr>
            <w:tcW w:w="2400" w:type="dxa"/>
            <w:shd w:val="clear" w:color="auto" w:fill="FFFFFF"/>
            <w:tcMar>
              <w:top w:w="80" w:type="dxa"/>
              <w:left w:w="100" w:type="dxa"/>
              <w:bottom w:w="80" w:type="dxa"/>
              <w:right w:w="100" w:type="dxa"/>
            </w:tcMar>
          </w:tcPr>
          <w:p w14:paraId="374B67D7">
            <w:pPr>
              <w:jc w:val="center"/>
            </w:pPr>
            <w:r>
              <w:rPr>
                <w:b w:val="0"/>
                <w:bCs w:val="0"/>
                <w:color w:val="000000"/>
                <w:sz w:val="20"/>
                <w:szCs w:val="20"/>
              </w:rPr>
              <w:t>1 645 188</w:t>
            </w:r>
          </w:p>
        </w:tc>
        <w:tc>
          <w:tcPr>
            <w:tcW w:w="2400" w:type="dxa"/>
            <w:shd w:val="clear" w:color="auto" w:fill="FFFFFF"/>
            <w:tcMar>
              <w:top w:w="80" w:type="dxa"/>
              <w:left w:w="100" w:type="dxa"/>
              <w:bottom w:w="80" w:type="dxa"/>
              <w:right w:w="100" w:type="dxa"/>
            </w:tcMar>
          </w:tcPr>
          <w:p w14:paraId="7FF9A21C">
            <w:pPr>
              <w:jc w:val="center"/>
            </w:pPr>
            <w:r>
              <w:rPr>
                <w:b w:val="0"/>
                <w:bCs w:val="0"/>
                <w:color w:val="000000"/>
                <w:sz w:val="20"/>
                <w:szCs w:val="20"/>
              </w:rPr>
              <w:t>902 793</w:t>
            </w:r>
          </w:p>
        </w:tc>
        <w:tc>
          <w:tcPr>
            <w:tcW w:w="2400" w:type="dxa"/>
            <w:shd w:val="clear" w:color="auto" w:fill="FFFFFF"/>
            <w:tcMar>
              <w:top w:w="80" w:type="dxa"/>
              <w:left w:w="100" w:type="dxa"/>
              <w:bottom w:w="80" w:type="dxa"/>
              <w:right w:w="100" w:type="dxa"/>
            </w:tcMar>
          </w:tcPr>
          <w:p w14:paraId="543EF13A">
            <w:pPr>
              <w:jc w:val="center"/>
            </w:pPr>
            <w:r>
              <w:rPr>
                <w:b w:val="0"/>
                <w:bCs w:val="0"/>
                <w:color w:val="000000"/>
                <w:sz w:val="20"/>
                <w:szCs w:val="20"/>
              </w:rPr>
              <w:t>0.885</w:t>
            </w:r>
          </w:p>
        </w:tc>
      </w:tr>
      <w:tr w14:paraId="4D2ED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tcPr>
          <w:p w14:paraId="240D15FE">
            <w:pPr>
              <w:jc w:val="center"/>
            </w:pPr>
            <w:r>
              <w:rPr>
                <w:b w:val="0"/>
                <w:bCs w:val="0"/>
                <w:color w:val="000000"/>
                <w:sz w:val="20"/>
                <w:szCs w:val="20"/>
              </w:rPr>
              <w:t>Random Forest</w:t>
            </w:r>
          </w:p>
        </w:tc>
        <w:tc>
          <w:tcPr>
            <w:tcW w:w="2400" w:type="dxa"/>
            <w:shd w:val="clear" w:color="auto" w:fill="FFFFFF"/>
            <w:tcMar>
              <w:top w:w="80" w:type="dxa"/>
              <w:left w:w="100" w:type="dxa"/>
              <w:bottom w:w="80" w:type="dxa"/>
              <w:right w:w="100" w:type="dxa"/>
            </w:tcMar>
          </w:tcPr>
          <w:p w14:paraId="3BA72981">
            <w:pPr>
              <w:jc w:val="center"/>
            </w:pPr>
            <w:r>
              <w:rPr>
                <w:b w:val="0"/>
                <w:bCs w:val="0"/>
                <w:color w:val="000000"/>
                <w:sz w:val="20"/>
                <w:szCs w:val="20"/>
              </w:rPr>
              <w:t>1 734 450</w:t>
            </w:r>
          </w:p>
        </w:tc>
        <w:tc>
          <w:tcPr>
            <w:tcW w:w="2400" w:type="dxa"/>
            <w:shd w:val="clear" w:color="auto" w:fill="FFFFFF"/>
            <w:tcMar>
              <w:top w:w="80" w:type="dxa"/>
              <w:left w:w="100" w:type="dxa"/>
              <w:bottom w:w="80" w:type="dxa"/>
              <w:right w:w="100" w:type="dxa"/>
            </w:tcMar>
          </w:tcPr>
          <w:p w14:paraId="0846673A">
            <w:pPr>
              <w:jc w:val="center"/>
            </w:pPr>
            <w:r>
              <w:rPr>
                <w:b w:val="0"/>
                <w:bCs w:val="0"/>
                <w:color w:val="000000"/>
                <w:sz w:val="20"/>
                <w:szCs w:val="20"/>
              </w:rPr>
              <w:t>912 237</w:t>
            </w:r>
          </w:p>
        </w:tc>
        <w:tc>
          <w:tcPr>
            <w:tcW w:w="2400" w:type="dxa"/>
            <w:shd w:val="clear" w:color="auto" w:fill="FFFFFF"/>
            <w:tcMar>
              <w:top w:w="80" w:type="dxa"/>
              <w:left w:w="100" w:type="dxa"/>
              <w:bottom w:w="80" w:type="dxa"/>
              <w:right w:w="100" w:type="dxa"/>
            </w:tcMar>
          </w:tcPr>
          <w:p w14:paraId="46F62226">
            <w:pPr>
              <w:jc w:val="center"/>
            </w:pPr>
            <w:r>
              <w:rPr>
                <w:b w:val="0"/>
                <w:bCs w:val="0"/>
                <w:color w:val="000000"/>
                <w:sz w:val="20"/>
                <w:szCs w:val="20"/>
              </w:rPr>
              <w:t>0.873</w:t>
            </w:r>
          </w:p>
        </w:tc>
      </w:tr>
    </w:tbl>
    <w:p w14:paraId="5102D315">
      <w:pPr>
        <w:spacing w:before="200" w:after="120"/>
      </w:pPr>
    </w:p>
    <w:p w14:paraId="3D7F5CCD">
      <w:pPr>
        <w:spacing w:after="120"/>
      </w:pPr>
      <w:r>
        <w:rPr>
          <w:sz w:val="21"/>
          <w:szCs w:val="21"/>
        </w:rPr>
        <w:t>Le modèle XGBoost obtient les meilleures performances sur les trois métriques, avec un R² de 0.90 : il explique 90% de la variance des prix observés. Son erreur absolue moyenne (MAE) est d'environ 825 580 MAD, soit approximativement 37% du prix médian du jeu de données (2 235 000 MAD), ce qui reste cohérent compte tenu de l'hétérogénéité du marché immobilier marocain (studios, appartements, villas confondus).</w:t>
      </w:r>
    </w:p>
    <w:p w14:paraId="14CC8072">
      <w:pPr>
        <w:spacing w:after="120"/>
      </w:pPr>
      <w:r>
        <w:rPr>
          <w:sz w:val="21"/>
          <w:szCs w:val="21"/>
        </w:rPr>
        <w:t>Il est à noter que le modèle Linear Regression obtient de meilleures performances que Random Forest sur ce jeu de données. Ce résultat, bien que moins intuitif, s'explique probablement par la taille modeste du jeu de données (1197 observations), insuffisante pour permettre à Random Forest d'exploiter pleinement sa capacité à modéliser des interactions non linéaires complexes.</w:t>
      </w:r>
    </w:p>
    <w:p w14:paraId="6D90FEFC">
      <w:pPr>
        <w:pStyle w:val="2"/>
        <w:spacing w:before="300" w:after="150"/>
        <w:rPr>
          <w:color w:val="auto"/>
        </w:rPr>
      </w:pPr>
      <w:r>
        <w:rPr>
          <w:b/>
          <w:bCs/>
          <w:color w:val="auto"/>
          <w:sz w:val="30"/>
          <w:szCs w:val="30"/>
        </w:rPr>
        <w:t>5. Modèle retenu</w:t>
      </w:r>
    </w:p>
    <w:p w14:paraId="77C13B7E">
      <w:pPr>
        <w:spacing w:after="120"/>
      </w:pPr>
      <w:r>
        <w:rPr>
          <w:sz w:val="21"/>
          <w:szCs w:val="21"/>
        </w:rPr>
        <w:t>Le modèle XGBoost a été retenu comme modèle final, sur la base de ses performances supérieures sur l'ensemble des métriques évaluées (RMSE, MAE, R²). Le pipeline complet (prétraitement + modèle) a été sérialisé (modele_prix_immobilier.pkl) et transmis à l'équipe MLOps (ML Engineer 2) pour intégration dans MLflow (experiment tracking et model registry).</w:t>
      </w:r>
    </w:p>
    <w:p w14:paraId="09710763">
      <w:pPr>
        <w:pStyle w:val="2"/>
        <w:spacing w:before="300" w:after="150"/>
        <w:rPr>
          <w:color w:val="auto"/>
        </w:rPr>
      </w:pPr>
      <w:r>
        <w:rPr>
          <w:rFonts w:hint="default"/>
          <w:b/>
          <w:bCs/>
          <w:color w:val="auto"/>
          <w:sz w:val="30"/>
          <w:szCs w:val="30"/>
          <w:lang w:val="fr-FR"/>
        </w:rPr>
        <w:t>6</w:t>
      </w:r>
      <w:bookmarkStart w:id="0" w:name="_GoBack"/>
      <w:bookmarkEnd w:id="0"/>
      <w:r>
        <w:rPr>
          <w:b/>
          <w:bCs/>
          <w:color w:val="auto"/>
          <w:sz w:val="30"/>
          <w:szCs w:val="30"/>
        </w:rPr>
        <w:t>. Livrables</w:t>
      </w:r>
    </w:p>
    <w:p w14:paraId="0D2D60D9">
      <w:pPr>
        <w:pStyle w:val="16"/>
        <w:numPr>
          <w:ilvl w:val="0"/>
          <w:numId w:val="1"/>
        </w:numPr>
        <w:spacing w:after="60"/>
      </w:pPr>
      <w:r>
        <w:rPr>
          <w:sz w:val="21"/>
          <w:szCs w:val="21"/>
        </w:rPr>
        <w:t>ml/notebooks/01_modelisation.ipynb — notebook complet (préparation, entraînement, évaluation) ;</w:t>
      </w:r>
    </w:p>
    <w:p w14:paraId="47F1C9A9">
      <w:pPr>
        <w:pStyle w:val="16"/>
        <w:numPr>
          <w:ilvl w:val="0"/>
          <w:numId w:val="1"/>
        </w:numPr>
        <w:spacing w:after="60"/>
      </w:pPr>
      <w:r>
        <w:rPr>
          <w:sz w:val="21"/>
          <w:szCs w:val="21"/>
        </w:rPr>
        <w:t>ml/models/modele_prix_immobilier.pkl — modèle final entraîné (XGBoost) ;</w:t>
      </w:r>
    </w:p>
    <w:p w14:paraId="6ABE2A59">
      <w:pPr>
        <w:pStyle w:val="16"/>
        <w:numPr>
          <w:ilvl w:val="0"/>
          <w:numId w:val="1"/>
        </w:numPr>
        <w:spacing w:after="60"/>
      </w:pPr>
      <w:r>
        <w:rPr>
          <w:sz w:val="21"/>
          <w:szCs w:val="21"/>
        </w:rPr>
        <w:t>ml/models/comparaison_modeles.csv — tableau comparatif des performances des trois modèles.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Book Antiqua">
    <w:panose1 w:val="02040602050305030304"/>
    <w:charset w:val="00"/>
    <w:family w:val="auto"/>
    <w:pitch w:val="default"/>
    <w:sig w:usb0="00000287" w:usb1="00000000" w:usb2="00000000" w:usb3="00000000" w:csb0="2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329766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sz w:val="20"/>
      <w:szCs w:val="20"/>
    </w:rPr>
  </w:style>
  <w:style w:type="paragraph" w:styleId="13">
    <w:name w:val="footnote text"/>
    <w:link w:val="17"/>
    <w:semiHidden/>
    <w:unhideWhenUsed/>
    <w:qFormat/>
    <w:uiPriority w:val="99"/>
    <w:pPr>
      <w:spacing w:after="0" w:line="240" w:lineRule="auto"/>
    </w:pPr>
    <w:rPr>
      <w:sz w:val="20"/>
      <w:szCs w:val="20"/>
    </w:rPr>
  </w:style>
  <w:style w:type="paragraph" w:styleId="14">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754</Words>
  <Characters>4442</Characters>
  <TotalTime>8</TotalTime>
  <ScaleCrop>false</ScaleCrop>
  <LinksUpToDate>false</LinksUpToDate>
  <CharactersWithSpaces>5145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2026-08-14T19:15:00Z</dcterms:created>
  <dc:creator>Un-named</dc:creator>
  <cp:lastModifiedBy>Salama Boussaid</cp:lastModifiedBy>
  <dcterms:modified xsi:type="dcterms:W3CDTF">2026-08-14T19:32:48Z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eyJoZGlkIjoiNmY0M2U3N2FlMTVlMTY5MWM5ZTQ1N2VmZDBkOTY0YTgiLCJ1c2VySWQiOiIxNTgwNTQ4MTIyNTQyNSJ9</vt:lpwstr>
  </property>
  <property fmtid="{D5CDD505-2E9C-101B-9397-08002B2CF9AE}" pid="3" name="KSOProductBuildVer">
    <vt:lpwstr>1036-12.1.0.28032</vt:lpwstr>
  </property>
  <property fmtid="{D5CDD505-2E9C-101B-9397-08002B2CF9AE}" pid="4" name="ICV">
    <vt:lpwstr>0D59C057B0CF478F901C1D9D01819180_12</vt:lpwstr>
  </property>
</Properties>
</file>