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2247900</wp:posOffset>
            </wp:positionH>
            <wp:positionV relativeFrom="paragraph">
              <wp:posOffset>257175</wp:posOffset>
            </wp:positionV>
            <wp:extent cx="881063" cy="853156"/>
            <wp:effectExtent b="0" l="0" r="0" t="0"/>
            <wp:wrapTopAndBottom distB="114300" distT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1063" cy="8531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color w:val="1155cc"/>
          <w:sz w:val="24"/>
          <w:szCs w:val="24"/>
        </w:rPr>
      </w:pPr>
      <w:r w:rsidDel="00000000" w:rsidR="00000000" w:rsidRPr="00000000">
        <w:rPr>
          <w:b w:val="1"/>
          <w:color w:val="1155cc"/>
          <w:sz w:val="24"/>
          <w:szCs w:val="24"/>
          <w:rtl w:val="0"/>
        </w:rPr>
        <w:t xml:space="preserve">Ecole des Sciences de l’Information                                                    2020/2021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10.0" w:type="dxa"/>
        <w:jc w:val="left"/>
        <w:tblInd w:w="-9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95"/>
        <w:gridCol w:w="5415"/>
        <w:tblGridChange w:id="0">
          <w:tblGrid>
            <w:gridCol w:w="5595"/>
            <w:gridCol w:w="54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Examen final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Elément de cours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Elaboration de thésaurus et d'ontologies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ACI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Enseignants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Mme Elyamani Samira et M. Mamouny Anass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1155cc"/>
          <w:u w:val="single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1) Identifier les classes de l’ontologie OntoEns, identifier pour chaque classe sa classe mère si elle existe 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Classe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 mère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Professeur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Departement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Etudiant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Niveau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Examen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Filière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Matière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Formation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Rapport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Stage</w:t>
            </w:r>
          </w:p>
        </w:tc>
      </w:tr>
      <w:tr>
        <w:trPr>
          <w:trHeight w:val="59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Soutenance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1155cc"/>
          <w:u w:val="single"/>
        </w:rPr>
      </w:pPr>
      <w:r w:rsidDel="00000000" w:rsidR="00000000" w:rsidRPr="00000000">
        <w:rPr>
          <w:b w:val="1"/>
          <w:color w:val="1155cc"/>
          <w:u w:val="single"/>
          <w:rtl w:val="0"/>
        </w:rPr>
        <w:t xml:space="preserve">2) Identifier les relations de l’ontologie OntoEns, identifier pour chaque relation sa classe source et sa classe destination 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trHeight w:val="595.95703125" w:hRule="atLeast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Relation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 source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 destination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enseigne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professeur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Matière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appartientà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professeur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Département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encadrer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professeur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étudiant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inscritDans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étudiant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Filière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Niveau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passe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étudiant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Examen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Soutenance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étudiant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Matière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effectuer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etudiant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effectue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etudiant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rédiger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étudiant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Rapport</w:t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