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Calibri" w:cs="Calibri" w:eastAsia="Calibri" w:hAnsi="Calibri"/>
          <w:b/>
          <w:bCs/>
          <w:color w:val="1E3A5F"/>
          <w:sz w:val="52"/>
          <w:szCs w:val="52"/>
        </w:rPr>
        <w:t xml:space="preserve">ENTERPRISE DATA STRATEGY</w:t>
      </w:r>
    </w:p>
    <w:p>
      <w:pPr>
        <w:spacing w:after="80"/>
        <w:jc w:val="center"/>
      </w:pPr>
      <w:r>
        <w:rPr>
          <w:rFonts w:ascii="Calibri" w:cs="Calibri" w:eastAsia="Calibri" w:hAnsi="Calibri"/>
          <w:color w:val="2E75B6"/>
          <w:sz w:val="36"/>
          <w:szCs w:val="36"/>
        </w:rPr>
        <w:t xml:space="preserve">Predicting and Reducing First-Year Student Dropout</w:t>
      </w:r>
    </w:p>
    <w:p>
      <w:pPr>
        <w:pBdr>
          <w:bottom w:val="single" w:color="B8860B" w:sz="6"/>
        </w:pBdr>
        <w:spacing w:after="400"/>
        <w:jc w:val="center"/>
      </w:pPr>
      <w:r>
        <w:rPr>
          <w:rFonts w:ascii="Calibri" w:cs="Calibri" w:eastAsia="Calibri" w:hAnsi="Calibri"/>
          <w:color w:val="555555"/>
          <w:sz w:val="26"/>
          <w:szCs w:val="26"/>
        </w:rPr>
        <w:t xml:space="preserve">A Private Higher-Education Institution Framework</w:t>
      </w:r>
    </w:p>
    <w:p>
      <w:pPr>
        <w:spacing w:after="120"/>
      </w:pPr>
      <w:r>
        <w:t xml:space="preserve"/>
      </w:r>
    </w:p>
    <w:p>
      <w:pPr>
        <w:spacing w:after="120"/>
      </w:pPr>
      <w:r>
        <w:t xml:space="preserve"/>
      </w:r>
    </w:p>
    <w:p>
      <w:pPr>
        <w:spacing w:after="120"/>
        <w:jc w:val="center"/>
      </w:pPr>
      <w:r>
        <w:rPr>
          <w:rFonts w:ascii="Calibri" w:cs="Calibri" w:eastAsia="Calibri" w:hAnsi="Calibri"/>
          <w:color w:val="555555"/>
          <w:sz w:val="22"/>
          <w:szCs w:val="22"/>
        </w:rPr>
        <w:t xml:space="preserve">Prepared by:</w:t>
      </w:r>
    </w:p>
    <w:p>
      <w:pPr>
        <w:spacing w:after="80"/>
        <w:jc w:val="center"/>
      </w:pPr>
      <w:r>
        <w:rPr>
          <w:rFonts w:ascii="Calibri" w:cs="Calibri" w:eastAsia="Calibri" w:hAnsi="Calibri"/>
          <w:b/>
          <w:bCs/>
          <w:color w:val="1E3A5F"/>
          <w:sz w:val="24"/>
          <w:szCs w:val="24"/>
        </w:rPr>
        <w:t xml:space="preserve">Senior Enterprise Data Architect &amp; Analytics Strategy Consultant</w:t>
      </w:r>
    </w:p>
    <w:p>
      <w:pPr>
        <w:spacing w:after="120"/>
      </w:pPr>
      <w:r>
        <w:t xml:space="preserve"/>
      </w:r>
    </w:p>
    <w:p>
      <w:pPr>
        <w:spacing w:after="80"/>
        <w:jc w:val="center"/>
      </w:pPr>
      <w:r>
        <w:rPr>
          <w:rFonts w:ascii="Calibri" w:cs="Calibri" w:eastAsia="Calibri" w:hAnsi="Calibri"/>
          <w:color w:val="555555"/>
          <w:sz w:val="22"/>
          <w:szCs w:val="22"/>
        </w:rPr>
        <w:t xml:space="preserve">OMIS 407: Analytics Planning and Strategy</w:t>
      </w:r>
    </w:p>
    <w:p>
      <w:pPr>
        <w:spacing w:after="80"/>
        <w:jc w:val="center"/>
      </w:pPr>
      <w:r>
        <w:rPr>
          <w:rFonts w:ascii="Calibri" w:cs="Calibri" w:eastAsia="Calibri" w:hAnsi="Calibri"/>
          <w:color w:val="555555"/>
          <w:sz w:val="22"/>
          <w:szCs w:val="22"/>
        </w:rPr>
        <w:t xml:space="preserve">February 2026</w:t>
      </w:r>
    </w:p>
    <w:p>
      <w:pPr>
        <w:spacing w:after="120"/>
      </w:pPr>
      <w:r>
        <w:t xml:space="preserve"/>
      </w:r>
    </w:p>
    <w:p>
      <w:pPr>
        <w:spacing w:after="120"/>
      </w:pPr>
      <w:r>
        <w:t xml:space="preserve"/>
      </w:r>
    </w:p>
    <w:p>
      <w:pPr>
        <w:spacing w:after="80"/>
        <w:jc w:val="center"/>
      </w:pPr>
      <w:r>
        <w:rPr>
          <w:rFonts w:ascii="Calibri" w:cs="Calibri" w:eastAsia="Calibri" w:hAnsi="Calibri"/>
          <w:b/>
          <w:bCs/>
          <w:color w:val="C0392B"/>
          <w:sz w:val="22"/>
          <w:szCs w:val="22"/>
        </w:rPr>
        <w:t xml:space="preserve">DOCUMENT CLASSIFICATION: CONFIDENTIAL</w:t>
      </w:r>
    </w:p>
    <w:p>
      <w:pPr>
        <w:jc w:val="center"/>
      </w:pPr>
      <w:r>
        <w:rPr>
          <w:rFonts w:ascii="Calibri" w:cs="Calibri" w:eastAsia="Calibri" w:hAnsi="Calibri"/>
          <w:color w:val="555555"/>
          <w:sz w:val="20"/>
          <w:szCs w:val="20"/>
        </w:rPr>
        <w:t xml:space="preserve">For executive approval and academic assessment — not for wider distribution</w:t>
      </w:r>
    </w:p>
    <w:p>
      <w:r>
        <w:br w:type="page"/>
      </w:r>
    </w:p>
    <w:p>
      <w:pPr>
        <w:pStyle w:val="Heading1"/>
        <w:pBdr>
          <w:bottom w:val="thick" w:color="1E3A5F" w:sz="8"/>
        </w:pBdr>
        <w:spacing w:before="480" w:after="200"/>
      </w:pPr>
      <w:r>
        <w:rPr>
          <w:rFonts w:ascii="Calibri" w:cs="Calibri" w:eastAsia="Calibri" w:hAnsi="Calibri"/>
          <w:b/>
          <w:bCs/>
          <w:color w:val="1E3A5F"/>
          <w:sz w:val="34"/>
          <w:szCs w:val="34"/>
        </w:rPr>
        <w:t xml:space="preserve">1. Executive Summary</w:t>
      </w:r>
    </w:p>
    <w:p>
      <w:pPr>
        <w:spacing w:after="180" w:line="340" w:lineRule="auto"/>
        <w:jc w:val="both"/>
      </w:pPr>
      <w:r>
        <w:rPr>
          <w:rFonts w:ascii="Calibri" w:cs="Calibri" w:eastAsia="Calibri" w:hAnsi="Calibri"/>
          <w:b w:val="false"/>
          <w:bCs w:val="false"/>
          <w:color w:val="1A1A2E"/>
          <w:sz w:val="22"/>
          <w:szCs w:val="22"/>
        </w:rPr>
        <w:t xml:space="preserve">This document presents a materially upgraded Enterprise Data Strategy for a private higher-education institution confronting persistent first-year student dropout. The strategy has been architecturally elevated from its prior iteration to meet enterprise standards: it now integrates a fully specified data warehouse architecture, a critical evaluation of competing warehouse paradigms, and a defensible final architecture decision that will govern data infrastructure investment for the next three to five years.</w:t>
      </w:r>
    </w:p>
    <w:p>
      <w:pPr>
        <w:spacing w:after="120"/>
      </w:pPr>
      <w:r>
        <w:t xml:space="preserve"/>
      </w:r>
    </w:p>
    <w:p>
      <w:pPr>
        <w:spacing w:after="180" w:line="340" w:lineRule="auto"/>
        <w:jc w:val="both"/>
      </w:pPr>
      <w:r>
        <w:rPr>
          <w:rFonts w:ascii="Calibri" w:cs="Calibri" w:eastAsia="Calibri" w:hAnsi="Calibri"/>
          <w:b w:val="false"/>
          <w:bCs w:val="false"/>
          <w:color w:val="1A1A2E"/>
          <w:sz w:val="22"/>
          <w:szCs w:val="22"/>
        </w:rPr>
        <w:t xml:space="preserve">The strategic imperative is unambiguous. First-year dropout rates averaging 25–30% represent a compound failure: lost student potential, irrecoverable institutional revenue, and erosion of accreditation standing. The root cause is not a lack of data. The institution generates substantial data daily across five operational systems — Admissions, the Learning Management System (LMS), Finance, Academic Records, and Student Affairs. The failure is architectural. These systems operate in complete isolation, producing data that is never integrated, never governed, and never translated into the early intervention signals that would keep students enrolled.</w:t>
      </w:r>
    </w:p>
    <w:p>
      <w:pPr>
        <w:spacing w:after="120"/>
      </w:pPr>
      <w:r>
        <w:t xml:space="preserve"/>
      </w:r>
    </w:p>
    <w:p>
      <w:pPr>
        <w:spacing w:after="180" w:line="340" w:lineRule="auto"/>
        <w:jc w:val="both"/>
      </w:pPr>
      <w:r>
        <w:rPr>
          <w:rFonts w:ascii="Calibri" w:cs="Calibri" w:eastAsia="Calibri" w:hAnsi="Calibri"/>
          <w:b w:val="false"/>
          <w:bCs w:val="false"/>
          <w:color w:val="1A1A2E"/>
          <w:sz w:val="22"/>
          <w:szCs w:val="22"/>
        </w:rPr>
        <w:t xml:space="preserve">This strategy resolves that failure through four interlocking interventions. First, a modern Lakehouse architecture — selected over traditional warehouse and data lake alternatives on the basis of structured governance, semi-structured data handling, and machine learning readiness — is established as the analytical foundation. Second, a fully mapped data warehouse component model connects every institutional system to a specific architectural function: ETL/ELT pipelines, API integration layers, metadata management, analytics sandboxes, and consumption tools. Third, an enterprise-grade governance framework governs data ownership, access control, privacy compliance, and ethical use of predictive analytics. Fourth, a phased 12-month implementation roadmap translates architecture into execution with measurable milestones.</w:t>
      </w:r>
    </w:p>
    <w:p>
      <w:pPr>
        <w:spacing w:after="120"/>
      </w:pPr>
      <w:r>
        <w:t xml:space="preserve"/>
      </w:r>
    </w:p>
    <w:p>
      <w:pPr>
        <w:spacing w:after="180" w:line="340" w:lineRule="auto"/>
        <w:jc w:val="both"/>
      </w:pPr>
      <w:r>
        <w:rPr>
          <w:rFonts w:ascii="Calibri" w:cs="Calibri" w:eastAsia="Calibri" w:hAnsi="Calibri"/>
          <w:b w:val="false"/>
          <w:bCs w:val="false"/>
          <w:color w:val="1A1A2E"/>
          <w:sz w:val="22"/>
          <w:szCs w:val="22"/>
        </w:rPr>
        <w:t xml:space="preserve">The projected outcomes are conservative and defensible: a 20–30% reduction in first-year dropout within 18 months of full deployment; at-risk student identification advanced from weeks 10–12 to weeks 3–5 of the academic semester; and a transition from analytics maturity Level 1 (Ad-Hoc) to Level 3–4 (Predictive). Each outcome is tied to a KPI with baseline, mid-term target, and final target — all measurable within the proposed architecture.</w:t>
      </w:r>
    </w:p>
    <w:p>
      <w:pPr>
        <w:spacing w:after="120"/>
      </w:pPr>
      <w:r>
        <w:t xml:space="preserve"/>
      </w:r>
    </w:p>
    <w:p>
      <w:pPr>
        <w:spacing w:after="180" w:line="340" w:lineRule="auto"/>
        <w:jc w:val="both"/>
      </w:pPr>
      <w:r>
        <w:rPr>
          <w:rFonts w:ascii="Calibri" w:cs="Calibri" w:eastAsia="Calibri" w:hAnsi="Calibri"/>
          <w:b w:val="false"/>
          <w:bCs w:val="false"/>
          <w:color w:val="1A1A2E"/>
          <w:sz w:val="22"/>
          <w:szCs w:val="22"/>
        </w:rPr>
        <w:t xml:space="preserve">The board is asked to approve this strategy not merely as a technology investment, but as a strategic commitment to institutional sustainability, student success, and evidence-based leadership.</w:t>
      </w:r>
    </w:p>
    <w:p>
      <w:r>
        <w:br w:type="page"/>
      </w:r>
    </w:p>
    <w:p>
      <w:pPr>
        <w:pStyle w:val="Heading1"/>
        <w:pBdr>
          <w:bottom w:val="thick" w:color="1E3A5F" w:sz="8"/>
        </w:pBdr>
        <w:spacing w:before="480" w:after="200"/>
      </w:pPr>
      <w:r>
        <w:rPr>
          <w:rFonts w:ascii="Calibri" w:cs="Calibri" w:eastAsia="Calibri" w:hAnsi="Calibri"/>
          <w:b/>
          <w:bCs/>
          <w:color w:val="1E3A5F"/>
          <w:sz w:val="34"/>
          <w:szCs w:val="34"/>
        </w:rPr>
        <w:t xml:space="preserve">2. Organizational Context and Strategic Alignment</w:t>
      </w:r>
    </w:p>
    <w:p>
      <w:pPr>
        <w:pStyle w:val="Heading2"/>
        <w:spacing w:before="360" w:after="160"/>
      </w:pPr>
      <w:r>
        <w:rPr>
          <w:rFonts w:ascii="Calibri" w:cs="Calibri" w:eastAsia="Calibri" w:hAnsi="Calibri"/>
          <w:b/>
          <w:bCs/>
          <w:color w:val="2E75B6"/>
          <w:sz w:val="28"/>
          <w:szCs w:val="28"/>
        </w:rPr>
        <w:t xml:space="preserve">2.1 The Institutional Environment</w:t>
      </w:r>
    </w:p>
    <w:p>
      <w:pPr>
        <w:spacing w:after="180" w:line="340" w:lineRule="auto"/>
        <w:jc w:val="both"/>
      </w:pPr>
      <w:r>
        <w:rPr>
          <w:rFonts w:ascii="Calibri" w:cs="Calibri" w:eastAsia="Calibri" w:hAnsi="Calibri"/>
          <w:b w:val="false"/>
          <w:bCs w:val="false"/>
          <w:color w:val="1A1A2E"/>
          <w:sz w:val="22"/>
          <w:szCs w:val="22"/>
        </w:rPr>
        <w:t xml:space="preserve">A private higher-education institution operates under constraints that differ materially from public counterparts: tuition dependency makes each student retained a direct contribution to financial sustainability; reputational capital drives enrolment pipelines; and regulatory oversight from accreditation bodies creates accountability for student success metrics that public institutions can absorb through government funding floors.</w:t>
      </w:r>
    </w:p>
    <w:p>
      <w:pPr>
        <w:spacing w:after="180" w:line="340" w:lineRule="auto"/>
        <w:jc w:val="both"/>
      </w:pPr>
      <w:r>
        <w:rPr>
          <w:rFonts w:ascii="Calibri" w:cs="Calibri" w:eastAsia="Calibri" w:hAnsi="Calibri"/>
          <w:b w:val="false"/>
          <w:bCs w:val="false"/>
          <w:color w:val="1A1A2E"/>
          <w:sz w:val="22"/>
          <w:szCs w:val="22"/>
        </w:rPr>
        <w:t xml:space="preserve">Structurally, the challenge is compounded by administrative decentralisation. Individual faculties maintain autonomous data practices, creating five or more parallel data environments that share no integration layer, no common identifier schema, and no governance standard. This is not an unusual condition for higher education — it is the norm. What distinguishes a data-mature institution from its peers is the willingness to invest in architectural integration before the dropout crisis deepens.</w:t>
      </w:r>
    </w:p>
    <w:p>
      <w:pPr>
        <w:pStyle w:val="Heading2"/>
        <w:spacing w:before="360" w:after="160"/>
      </w:pPr>
      <w:r>
        <w:rPr>
          <w:rFonts w:ascii="Calibri" w:cs="Calibri" w:eastAsia="Calibri" w:hAnsi="Calibri"/>
          <w:b/>
          <w:bCs/>
          <w:color w:val="2E75B6"/>
          <w:sz w:val="28"/>
          <w:szCs w:val="28"/>
        </w:rPr>
        <w:t xml:space="preserve">2.2 Strategic Objectives — Redefined for Enterprise Execution</w:t>
      </w:r>
    </w:p>
    <w:p>
      <w:pPr>
        <w:spacing w:after="180" w:line="340" w:lineRule="auto"/>
        <w:jc w:val="both"/>
      </w:pPr>
      <w:r>
        <w:rPr>
          <w:rFonts w:ascii="Calibri" w:cs="Calibri" w:eastAsia="Calibri" w:hAnsi="Calibri"/>
          <w:b w:val="false"/>
          <w:bCs w:val="false"/>
          <w:color w:val="1A1A2E"/>
          <w:sz w:val="22"/>
          <w:szCs w:val="22"/>
        </w:rPr>
        <w:t xml:space="preserve">The four strategic objectives established in the prior document are retained but sharpened to reflect the architectural maturity required for executive approval:</w:t>
      </w:r>
    </w:p>
    <w:p>
      <w:pPr>
        <w:pStyle w:val="ListParagraph"/>
        <w:numPr>
          <w:ilvl w:val="0"/>
          <w:numId w:val="2"/>
        </w:numPr>
        <w:spacing w:after="120" w:line="320" w:lineRule="auto"/>
      </w:pPr>
      <w:r>
        <w:rPr>
          <w:rFonts w:ascii="Calibri" w:cs="Calibri" w:eastAsia="Calibri" w:hAnsi="Calibri"/>
          <w:color w:val="1A1A2E"/>
          <w:sz w:val="22"/>
          <w:szCs w:val="22"/>
        </w:rPr>
        <w:t xml:space="preserve">Reduce first-year dropout through a Lakehouse-powered predictive analytics capability that generates risk scores by week three of each semester, enabling human-mediated intervention before withdrawal decisions crystallize.</w:t>
      </w:r>
    </w:p>
    <w:p>
      <w:pPr>
        <w:pStyle w:val="ListParagraph"/>
        <w:numPr>
          <w:ilvl w:val="0"/>
          <w:numId w:val="2"/>
        </w:numPr>
        <w:spacing w:after="120" w:line="320" w:lineRule="auto"/>
      </w:pPr>
      <w:r>
        <w:rPr>
          <w:rFonts w:ascii="Calibri" w:cs="Calibri" w:eastAsia="Calibri" w:hAnsi="Calibri"/>
          <w:color w:val="1A1A2E"/>
          <w:sz w:val="22"/>
          <w:szCs w:val="22"/>
        </w:rPr>
        <w:t xml:space="preserve">Build sustainable analytics maturity by advancing from Level 1 (Ad-Hoc) to Level 3–4 (Predictive) through phased data infrastructure investment, not tactical tooling acquisition.</w:t>
      </w:r>
    </w:p>
    <w:p>
      <w:pPr>
        <w:pStyle w:val="ListParagraph"/>
        <w:numPr>
          <w:ilvl w:val="0"/>
          <w:numId w:val="2"/>
        </w:numPr>
        <w:spacing w:after="120" w:line="320" w:lineRule="auto"/>
      </w:pPr>
      <w:r>
        <w:rPr>
          <w:rFonts w:ascii="Calibri" w:cs="Calibri" w:eastAsia="Calibri" w:hAnsi="Calibri"/>
          <w:color w:val="1A1A2E"/>
          <w:sz w:val="22"/>
          <w:szCs w:val="22"/>
        </w:rPr>
        <w:t xml:space="preserve">Establish institution-wide data governance with defined ownership, stewardship, access controls, and a metadata-managed lineage framework that makes risk scores auditable and defensible.</w:t>
      </w:r>
    </w:p>
    <w:p>
      <w:pPr>
        <w:pStyle w:val="ListParagraph"/>
        <w:numPr>
          <w:ilvl w:val="0"/>
          <w:numId w:val="2"/>
        </w:numPr>
        <w:spacing w:after="120" w:line="320" w:lineRule="auto"/>
      </w:pPr>
      <w:r>
        <w:rPr>
          <w:rFonts w:ascii="Calibri" w:cs="Calibri" w:eastAsia="Calibri" w:hAnsi="Calibri"/>
          <w:color w:val="1A1A2E"/>
          <w:sz w:val="22"/>
          <w:szCs w:val="22"/>
        </w:rPr>
        <w:t xml:space="preserve">Enable scalable growth by selecting an architecture that accommodates increasing student volumes, new data sources (IoT campus sensors, student-facing apps), and evolving analytics use cases without requiring a replacement rebuild.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CCCCC" w:sz="1"/>
              <w:left w:val="single" w:color="CCCCCC" w:sz="1"/>
              <w:bottom w:val="single" w:color="CCCCCC" w:sz="1"/>
              <w:right w:val="none" w:color="FFFFFF" w:sz="0"/>
            </w:tcBorders>
            <w:shd w:fill="1E3A5F" w:val="clear"/>
            <w:tcMar>
              <w:top w:type="dxa" w:w="120"/>
              <w:left w:type="dxa" w:w="80"/>
              <w:bottom w:type="dxa" w:w="120"/>
              <w:right w:type="dxa" w:w="80"/>
            </w:tcMar>
            <w:vAlign w:val="center"/>
          </w:tcPr>
          <w:p>
            <w:pPr>
              <w:jc w:val="center"/>
            </w:pPr>
            <w:r>
              <w:rPr>
                <w:rFonts w:ascii="Calibri" w:cs="Calibri" w:eastAsia="Calibri" w:hAnsi="Calibri"/>
                <w:b/>
                <w:bCs/>
                <w:color w:val="FFFFFF"/>
                <w:sz w:val="18"/>
                <w:szCs w:val="18"/>
              </w:rPr>
              <w:t xml:space="preserve">EXEC NOTE</w:t>
            </w:r>
          </w:p>
        </w:tc>
        <w:tc>
          <w:tcPr>
            <w:tcW w:type="dxa" w:w="9060"/>
            <w:tcBorders>
              <w:top w:val="single" w:color="CCCCCC" w:sz="1"/>
              <w:left w:val="none" w:color="FFFFFF" w:sz="0"/>
              <w:bottom w:val="single" w:color="CCCCCC" w:sz="1"/>
              <w:right w:val="single" w:color="CCCCCC" w:sz="1"/>
            </w:tcBorders>
            <w:shd w:fill="F5F5F5" w:val="clear"/>
            <w:tcMar>
              <w:top w:type="dxa" w:w="120"/>
              <w:left w:type="dxa" w:w="160"/>
              <w:bottom w:type="dxa" w:w="120"/>
              <w:right w:type="dxa" w:w="160"/>
            </w:tcMar>
          </w:tcPr>
          <w:p>
            <w:r>
              <w:rPr>
                <w:rFonts w:ascii="Calibri" w:cs="Calibri" w:eastAsia="Calibri" w:hAnsi="Calibri"/>
                <w:color w:val="1A1A2E"/>
                <w:sz w:val="21"/>
                <w:szCs w:val="21"/>
              </w:rPr>
              <w:t xml:space="preserve">Each strategic objective has a corresponding KPI with baseline, mid-point, and final target. See Section 10 for the full KPI framework. Architecture choices in Sections 5–7 are directly traceable to these objectives.</w:t>
            </w:r>
          </w:p>
        </w:tc>
      </w:tr>
    </w:tbl>
    <w:p>
      <w:r>
        <w:br w:type="page"/>
      </w:r>
    </w:p>
    <w:p>
      <w:pPr>
        <w:pStyle w:val="Heading1"/>
        <w:pBdr>
          <w:bottom w:val="thick" w:color="1E3A5F" w:sz="8"/>
        </w:pBdr>
        <w:spacing w:before="480" w:after="200"/>
      </w:pPr>
      <w:r>
        <w:rPr>
          <w:rFonts w:ascii="Calibri" w:cs="Calibri" w:eastAsia="Calibri" w:hAnsi="Calibri"/>
          <w:b/>
          <w:bCs/>
          <w:color w:val="1E3A5F"/>
          <w:sz w:val="34"/>
          <w:szCs w:val="34"/>
        </w:rPr>
        <w:t xml:space="preserve">3. Business Problem Definition</w:t>
      </w:r>
    </w:p>
    <w:p>
      <w:pPr>
        <w:pStyle w:val="Heading2"/>
        <w:spacing w:before="360" w:after="160"/>
      </w:pPr>
      <w:r>
        <w:rPr>
          <w:rFonts w:ascii="Calibri" w:cs="Calibri" w:eastAsia="Calibri" w:hAnsi="Calibri"/>
          <w:b/>
          <w:bCs/>
          <w:color w:val="2E75B6"/>
          <w:sz w:val="28"/>
          <w:szCs w:val="28"/>
        </w:rPr>
        <w:t xml:space="preserve">3.1 The Anatomy of First-Year Dropout</w:t>
      </w:r>
    </w:p>
    <w:p>
      <w:pPr>
        <w:spacing w:after="180" w:line="340" w:lineRule="auto"/>
        <w:jc w:val="both"/>
      </w:pPr>
      <w:r>
        <w:rPr>
          <w:rFonts w:ascii="Calibri" w:cs="Calibri" w:eastAsia="Calibri" w:hAnsi="Calibri"/>
          <w:b w:val="false"/>
          <w:bCs w:val="false"/>
          <w:color w:val="1A1A2E"/>
          <w:sz w:val="22"/>
          <w:szCs w:val="22"/>
        </w:rPr>
        <w:t xml:space="preserve">First-year dropout is a multi-causal phenomenon that presents as a single event — the submission of a withdrawal form — but represents the convergence of risk factors that have been accumulating, undetected, for weeks. Academic underperformance typically becomes measurable by week four. Financial stress signals (outstanding balances, missed payment deadlines) are visible in the finance system from day one of the semester. LMS disengagement — declining login frequency, missed assignment submissions — is detectable within days. Social isolation signals require qualitative data collection but are accessible via student affairs records and counselling visit logs.</w:t>
      </w:r>
    </w:p>
    <w:p>
      <w:pPr>
        <w:spacing w:after="180" w:line="340" w:lineRule="auto"/>
        <w:jc w:val="both"/>
      </w:pPr>
      <w:r>
        <w:rPr>
          <w:rFonts w:ascii="Calibri" w:cs="Calibri" w:eastAsia="Calibri" w:hAnsi="Calibri"/>
          <w:b w:val="false"/>
          <w:bCs w:val="false"/>
          <w:color w:val="1A1A2E"/>
          <w:sz w:val="22"/>
          <w:szCs w:val="22"/>
        </w:rPr>
        <w:t xml:space="preserve">The institution currently has no mechanism to triangulate these signals. Each system generates its data in isolation. A student can simultaneously fail three assessments, stop attending classes, and accumulate a fee arrear — and no coordinated alert will be generated, because no system has visibility across the other two. The data warehouse architecture proposed in this strategy resolves this triangulation failure at its root.</w:t>
      </w:r>
    </w:p>
    <w:p>
      <w:pPr>
        <w:pStyle w:val="Heading2"/>
        <w:spacing w:before="360" w:after="160"/>
      </w:pPr>
      <w:r>
        <w:rPr>
          <w:rFonts w:ascii="Calibri" w:cs="Calibri" w:eastAsia="Calibri" w:hAnsi="Calibri"/>
          <w:b/>
          <w:bCs/>
          <w:color w:val="2E75B6"/>
          <w:sz w:val="28"/>
          <w:szCs w:val="28"/>
        </w:rPr>
        <w:t xml:space="preserve">3.2 The Cost Calculus of Inaction</w:t>
      </w:r>
    </w:p>
    <w:p>
      <w:pPr>
        <w:spacing w:after="180" w:line="340" w:lineRule="auto"/>
        <w:jc w:val="both"/>
      </w:pPr>
      <w:r>
        <w:rPr>
          <w:rFonts w:ascii="Calibri" w:cs="Calibri" w:eastAsia="Calibri" w:hAnsi="Calibri"/>
          <w:b w:val="false"/>
          <w:bCs w:val="false"/>
          <w:color w:val="1A1A2E"/>
          <w:sz w:val="22"/>
          <w:szCs w:val="22"/>
        </w:rPr>
        <w:t xml:space="preserve">The financial case for investment is unambiguous. Assuming a first-year cohort of 5,000 students, a dropout rate of 25%, and average annual tuition of the institution's prevailing rate, the revenue at risk per cohort is material. Each percentage-point reduction in dropout rate translates to retained tuition across the remaining years of those students' programmes. The infrastructure investment proposed in this strategy — phased and incremental — is recoverable within the first year of demonstrated dropout reduction.</w:t>
      </w:r>
    </w:p>
    <w:p>
      <w:pPr>
        <w:spacing w:after="180" w:line="340" w:lineRule="auto"/>
        <w:jc w:val="both"/>
      </w:pPr>
      <w:r>
        <w:rPr>
          <w:rFonts w:ascii="Calibri" w:cs="Calibri" w:eastAsia="Calibri" w:hAnsi="Calibri"/>
          <w:b w:val="false"/>
          <w:bCs w:val="false"/>
          <w:color w:val="1A1A2E"/>
          <w:sz w:val="22"/>
          <w:szCs w:val="22"/>
        </w:rPr>
        <w:t xml:space="preserve">Beyond revenue, the strategic costs of inaction compound: declining league-table rankings driven by retention metrics; increased pressure on student support resources as risk accumulates without early intervention; regulatory scrutiny from accreditation bodies that monitor institutional quality indicators; and reputational damage in student recruitment pipelines that are already competitive.</w:t>
      </w:r>
    </w:p>
    <w:p>
      <w:pPr>
        <w:pStyle w:val="Heading2"/>
        <w:spacing w:before="360" w:after="160"/>
      </w:pPr>
      <w:r>
        <w:rPr>
          <w:rFonts w:ascii="Calibri" w:cs="Calibri" w:eastAsia="Calibri" w:hAnsi="Calibri"/>
          <w:b/>
          <w:bCs/>
          <w:color w:val="2E75B6"/>
          <w:sz w:val="28"/>
          <w:szCs w:val="28"/>
        </w:rPr>
        <w:t xml:space="preserve">3.3 The Analytical Gap — A Technical Diagnosis</w:t>
      </w:r>
    </w:p>
    <w:p>
      <w:pPr>
        <w:spacing w:after="180" w:line="340" w:lineRule="auto"/>
        <w:jc w:val="both"/>
      </w:pPr>
      <w:r>
        <w:rPr>
          <w:rFonts w:ascii="Calibri" w:cs="Calibri" w:eastAsia="Calibri" w:hAnsi="Calibri"/>
          <w:b w:val="false"/>
          <w:bCs w:val="false"/>
          <w:color w:val="1A1A2E"/>
          <w:sz w:val="22"/>
          <w:szCs w:val="22"/>
        </w:rPr>
        <w:t xml:space="preserve">The gap between the data the institution holds and the decisions it can currently support is architectural, not informational. The five operational systems collectively capture sufficient signals to predict dropout risk with high accuracy — academic performance trajectory, financial stress indicators, engagement patterns, and social risk factors. What they cannot do, in their current isolated state, is present those signals in an integrated, actionable form.</w:t>
      </w:r>
    </w:p>
    <w:p>
      <w:pPr>
        <w:spacing w:after="180" w:line="340" w:lineRule="auto"/>
        <w:jc w:val="both"/>
      </w:pPr>
      <w:r>
        <w:rPr>
          <w:rFonts w:ascii="Calibri" w:cs="Calibri" w:eastAsia="Calibri" w:hAnsi="Calibri"/>
          <w:b w:val="false"/>
          <w:bCs w:val="false"/>
          <w:color w:val="1A1A2E"/>
          <w:sz w:val="22"/>
          <w:szCs w:val="22"/>
        </w:rPr>
        <w:t xml:space="preserve">The architecture specified in this document — a Lakehouse integrating all five operational systems through governed ETL/ELT pipelines, a metadata-managed central warehouse, and a machine learning-ready analytics sandbox — closes that gap definitively. It does so not by collecting new data, but by making the data that already exists available for the purpose for which it was, implicitly, always needed.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CCCCC" w:sz="1"/>
              <w:left w:val="single" w:color="CCCCCC" w:sz="1"/>
              <w:bottom w:val="single" w:color="CCCCCC" w:sz="1"/>
              <w:right w:val="none" w:color="FFFFFF" w:sz="0"/>
            </w:tcBorders>
            <w:shd w:fill="0D6E6E" w:val="clear"/>
            <w:tcMar>
              <w:top w:type="dxa" w:w="120"/>
              <w:left w:type="dxa" w:w="80"/>
              <w:bottom w:type="dxa" w:w="120"/>
              <w:right w:type="dxa" w:w="80"/>
            </w:tcMar>
            <w:vAlign w:val="center"/>
          </w:tcPr>
          <w:p>
            <w:pPr>
              <w:jc w:val="center"/>
            </w:pPr>
            <w:r>
              <w:rPr>
                <w:rFonts w:ascii="Calibri" w:cs="Calibri" w:eastAsia="Calibri" w:hAnsi="Calibri"/>
                <w:b/>
                <w:bCs/>
                <w:color w:val="FFFFFF"/>
                <w:sz w:val="18"/>
                <w:szCs w:val="18"/>
              </w:rPr>
              <w:t xml:space="preserve">ARCHITECTURAL PRINCIPLE</w:t>
            </w:r>
          </w:p>
        </w:tc>
        <w:tc>
          <w:tcPr>
            <w:tcW w:type="dxa" w:w="9060"/>
            <w:tcBorders>
              <w:top w:val="single" w:color="CCCCCC" w:sz="1"/>
              <w:left w:val="none" w:color="FFFFFF" w:sz="0"/>
              <w:bottom w:val="single" w:color="CCCCCC" w:sz="1"/>
              <w:right w:val="single" w:color="CCCCCC" w:sz="1"/>
            </w:tcBorders>
            <w:shd w:fill="F5F5F5" w:val="clear"/>
            <w:tcMar>
              <w:top w:type="dxa" w:w="120"/>
              <w:left w:type="dxa" w:w="160"/>
              <w:bottom w:type="dxa" w:w="120"/>
              <w:right w:type="dxa" w:w="160"/>
            </w:tcMar>
          </w:tcPr>
          <w:p>
            <w:r>
              <w:rPr>
                <w:rFonts w:ascii="Calibri" w:cs="Calibri" w:eastAsia="Calibri" w:hAnsi="Calibri"/>
                <w:color w:val="1A1A2E"/>
                <w:sz w:val="21"/>
                <w:szCs w:val="21"/>
              </w:rPr>
              <w:t xml:space="preserve">The primary design constraint is integration, not collection. The institution does not need more data. It needs an architecture capable of unifying the data it already generates into a coherent, governed, analytically accessible whole.</w:t>
            </w:r>
          </w:p>
        </w:tc>
      </w:tr>
    </w:tbl>
    <w:p>
      <w:r>
        <w:br w:type="page"/>
      </w:r>
    </w:p>
    <w:p>
      <w:pPr>
        <w:pStyle w:val="Heading1"/>
        <w:pBdr>
          <w:bottom w:val="thick" w:color="1E3A5F" w:sz="8"/>
        </w:pBdr>
        <w:spacing w:before="480" w:after="200"/>
      </w:pPr>
      <w:r>
        <w:rPr>
          <w:rFonts w:ascii="Calibri" w:cs="Calibri" w:eastAsia="Calibri" w:hAnsi="Calibri"/>
          <w:b/>
          <w:bCs/>
          <w:color w:val="1E3A5F"/>
          <w:sz w:val="34"/>
          <w:szCs w:val="34"/>
        </w:rPr>
        <w:t xml:space="preserve">4. Current State Assessment and Analytics Maturity</w:t>
      </w:r>
    </w:p>
    <w:p>
      <w:pPr>
        <w:pStyle w:val="Heading2"/>
        <w:spacing w:before="360" w:after="160"/>
      </w:pPr>
      <w:r>
        <w:rPr>
          <w:rFonts w:ascii="Calibri" w:cs="Calibri" w:eastAsia="Calibri" w:hAnsi="Calibri"/>
          <w:b/>
          <w:bCs/>
          <w:color w:val="2E75B6"/>
          <w:sz w:val="28"/>
          <w:szCs w:val="28"/>
        </w:rPr>
        <w:t xml:space="preserve">4.1 Existing Operational Systems</w:t>
      </w:r>
    </w:p>
    <w:p>
      <w:pPr>
        <w:spacing w:after="180" w:line="340" w:lineRule="auto"/>
        <w:jc w:val="both"/>
      </w:pPr>
      <w:r>
        <w:rPr>
          <w:rFonts w:ascii="Calibri" w:cs="Calibri" w:eastAsia="Calibri" w:hAnsi="Calibri"/>
          <w:b w:val="false"/>
          <w:bCs w:val="false"/>
          <w:color w:val="1A1A2E"/>
          <w:sz w:val="22"/>
          <w:szCs w:val="22"/>
        </w:rPr>
        <w:t xml:space="preserve">The institution operates five primary OLTP (Online Transaction Processing) systems. The Admissions System captures applicant demographics, qualification data, application decisions, and enrolment confirmation. The Learning Management System (LMS) records course enrolments, login activity, assignment submissions, grade distributions, and discussion forum participation. The Student Finance System processes tuition invoicing, payment receipts, fee balance tracking, and financial aid disbursement. The Academic Records System maintains official course registrations, examination results, GPA computations, attendance records, and academic standing flags. Student Affairs maintains counselling visit logs, welfare referrals, accommodation records, and disciplinary actions.</w:t>
      </w:r>
    </w:p>
    <w:p>
      <w:pPr>
        <w:spacing w:after="180" w:line="340" w:lineRule="auto"/>
        <w:jc w:val="both"/>
      </w:pPr>
      <w:r>
        <w:rPr>
          <w:rFonts w:ascii="Calibri" w:cs="Calibri" w:eastAsia="Calibri" w:hAnsi="Calibri"/>
          <w:b w:val="false"/>
          <w:bCs w:val="false"/>
          <w:color w:val="1A1A2E"/>
          <w:sz w:val="22"/>
          <w:szCs w:val="22"/>
        </w:rPr>
        <w:t xml:space="preserve">Each system fulfils its transactional function competently. The failure is not at the system level — it is at the integration level. No data flows between these systems. No identifier links them. No analytical layer sits above them. They are, in the language of enterprise architecture, five islands in a sea of unrealised institutional intelligence.</w:t>
      </w:r>
    </w:p>
    <w:p>
      <w:pPr>
        <w:pStyle w:val="Heading2"/>
        <w:spacing w:before="360" w:after="160"/>
      </w:pPr>
      <w:r>
        <w:rPr>
          <w:rFonts w:ascii="Calibri" w:cs="Calibri" w:eastAsia="Calibri" w:hAnsi="Calibri"/>
          <w:b/>
          <w:bCs/>
          <w:color w:val="2E75B6"/>
          <w:sz w:val="28"/>
          <w:szCs w:val="28"/>
        </w:rPr>
        <w:t xml:space="preserve">4.2 Analytics Maturity: Level 1 — Ad-Hoc</w:t>
      </w:r>
    </w:p>
    <w:p>
      <w:pPr>
        <w:spacing w:after="180" w:line="340" w:lineRule="auto"/>
        <w:jc w:val="both"/>
      </w:pPr>
      <w:r>
        <w:rPr>
          <w:rFonts w:ascii="Calibri" w:cs="Calibri" w:eastAsia="Calibri" w:hAnsi="Calibri"/>
          <w:b w:val="false"/>
          <w:bCs w:val="false"/>
          <w:color w:val="1A1A2E"/>
          <w:sz w:val="22"/>
          <w:szCs w:val="22"/>
        </w:rPr>
        <w:t xml:space="preserve">Using the five-level analytics maturity framework — Ad-Hoc, Descriptive, Diagnostic, Predictive, Prescriptive — the institution operates squarely at Level 1. The characteristics of Level 1 maturity are precisely those observed: reporting is manual, produced on demand by individual staff, inconsistent in methodology, and invariably retrospective. There is no standardised KPI framework, no centralised analytics function, and no automated reporting pipeline.</w:t>
      </w:r>
    </w:p>
    <w:p>
      <w:pPr>
        <w:spacing w:after="180" w:line="340" w:lineRule="auto"/>
        <w:jc w:val="both"/>
      </w:pPr>
      <w:r>
        <w:rPr>
          <w:rFonts w:ascii="Calibri" w:cs="Calibri" w:eastAsia="Calibri" w:hAnsi="Calibri"/>
          <w:b w:val="false"/>
          <w:bCs w:val="false"/>
          <w:color w:val="1A1A2E"/>
          <w:sz w:val="22"/>
          <w:szCs w:val="22"/>
        </w:rPr>
        <w:t xml:space="preserve">The strategic target of this document is Level 3–4 by month 12: an organisation capable of explaining why dropout rates follow observed patterns (Diagnostic), and of generating reliable forward-looking risk scores that drive targeted intervention before withdrawal occurs (Predictive). Level 5 — Prescriptive, with automated intervention recommendations — is a Phase 4 aspiration beyond the 12-month horizon but architecturally enabled by the Lakehouse design.</w:t>
      </w:r>
    </w:p>
    <w:p>
      <w:pPr>
        <w:pStyle w:val="Heading2"/>
        <w:spacing w:before="360" w:after="160"/>
      </w:pPr>
      <w:r>
        <w:rPr>
          <w:rFonts w:ascii="Calibri" w:cs="Calibri" w:eastAsia="Calibri" w:hAnsi="Calibri"/>
          <w:b/>
          <w:bCs/>
          <w:color w:val="2E75B6"/>
          <w:sz w:val="28"/>
          <w:szCs w:val="28"/>
        </w:rPr>
        <w:t xml:space="preserve">4.3 The Case for Architectural Investment Now</w:t>
      </w:r>
    </w:p>
    <w:p>
      <w:pPr>
        <w:spacing w:after="180" w:line="340" w:lineRule="auto"/>
        <w:jc w:val="both"/>
      </w:pPr>
      <w:r>
        <w:rPr>
          <w:rFonts w:ascii="Calibri" w:cs="Calibri" w:eastAsia="Calibri" w:hAnsi="Calibri"/>
          <w:b w:val="false"/>
          <w:bCs w:val="false"/>
          <w:color w:val="1A1A2E"/>
          <w:sz w:val="22"/>
          <w:szCs w:val="22"/>
        </w:rPr>
        <w:t xml:space="preserve">The progression from Level 1 to Level 3 cannot be achieved through tooling alone. Power BI dashboards without clean, integrated data produce attractive visualisations of unreliable information. Machine learning models trained on siloed, ungoverned data produce biased, untrustworthy risk scores. The architecture must come first. Every component specified in Sections 5 through 7 is a prerequisite for the analytics outcomes quantified in Section 10 — not a parallel track.</w:t>
      </w:r>
    </w:p>
    <w:p>
      <w:r>
        <w:br w:type="page"/>
      </w:r>
    </w:p>
    <w:p>
      <w:pPr>
        <w:pStyle w:val="Heading1"/>
        <w:pBdr>
          <w:bottom w:val="thick" w:color="1E3A5F" w:sz="8"/>
        </w:pBdr>
        <w:spacing w:before="480" w:after="200"/>
      </w:pPr>
      <w:r>
        <w:rPr>
          <w:rFonts w:ascii="Calibri" w:cs="Calibri" w:eastAsia="Calibri" w:hAnsi="Calibri"/>
          <w:b/>
          <w:bCs/>
          <w:color w:val="1E3A5F"/>
          <w:sz w:val="34"/>
          <w:szCs w:val="34"/>
        </w:rPr>
        <w:t xml:space="preserve">5. Enterprise Data Warehouse Architecture — Component Model</w:t>
      </w:r>
    </w:p>
    <w:p>
      <w:pPr>
        <w:spacing w:after="180" w:line="340" w:lineRule="auto"/>
        <w:jc w:val="both"/>
      </w:pPr>
      <w:r>
        <w:rPr>
          <w:rFonts w:ascii="Calibri" w:cs="Calibri" w:eastAsia="Calibri" w:hAnsi="Calibri"/>
          <w:b w:val="false"/>
          <w:bCs w:val="false"/>
          <w:color w:val="1A1A2E"/>
          <w:sz w:val="22"/>
          <w:szCs w:val="22"/>
        </w:rPr>
        <w:t xml:space="preserve">The data warehouse architecture for this institution is not a single technology decision. It is a layered system of interlocking components, each serving a defined function in the journey from raw operational transaction to actionable student-retention insight. This section specifies each component, explains its architectural role, maps it to the relevant university operational systems, and justifies its inclusion in the target architecture.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500"/>
        <w:gridCol w:w="2260"/>
      </w:tblGrid>
      <w:tr>
        <w:tc>
          <w:tcPr>
            <w:tcW w:type="dxa" w:w="210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Component</w:t>
            </w:r>
          </w:p>
        </w:tc>
        <w:tc>
          <w:tcPr>
            <w:tcW w:type="dxa" w:w="250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University System Mapping</w:t>
            </w:r>
          </w:p>
        </w:tc>
        <w:tc>
          <w:tcPr>
            <w:tcW w:type="dxa" w:w="250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Data Type Handled</w:t>
            </w:r>
          </w:p>
        </w:tc>
        <w:tc>
          <w:tcPr>
            <w:tcW w:type="dxa" w:w="226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Retention Analytics Function</w:t>
            </w:r>
          </w:p>
        </w:tc>
      </w:tr>
      <w:tr>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ETL / ELT Tools</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Admissions (Banner/Ellucian), LMS (Moodle/Canvas), Finance ERP</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Structured batch records; enrollment, fee, grade transactions</w:t>
            </w:r>
          </w:p>
        </w:tc>
        <w:tc>
          <w:tcPr>
            <w:tcW w:type="dxa" w:w="2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Nightly ingestion of academic, financial, and engagement data into warehouse</w:t>
            </w:r>
          </w:p>
        </w:tc>
      </w:tr>
      <w:tr>
        <w:tc>
          <w:tcPr>
            <w:tcW w:type="dxa" w:w="21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API Layer (REST/GraphQL)</w:t>
            </w:r>
          </w:p>
        </w:tc>
        <w:tc>
          <w:tcPr>
            <w:tcW w:type="dxa" w:w="25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LMS event streams, payment portals, student mobile apps, survey platforms</w:t>
            </w:r>
          </w:p>
        </w:tc>
        <w:tc>
          <w:tcPr>
            <w:tcW w:type="dxa" w:w="25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Real-time/near-real-time JSON, event logs, clickstreams</w:t>
            </w:r>
          </w:p>
        </w:tc>
        <w:tc>
          <w:tcPr>
            <w:tcW w:type="dxa" w:w="22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Live LMS engagement signals (logins, submissions) fed to early warning engine</w:t>
            </w:r>
          </w:p>
        </w:tc>
      </w:tr>
      <w:tr>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Central Data Warehouse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Unified analytical store — separate from all OLTP systems</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Cleaned, integrated, historized dimensional data</w:t>
            </w:r>
          </w:p>
        </w:tc>
        <w:tc>
          <w:tcPr>
            <w:tcW w:type="dxa" w:w="2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Single source of truth for risk scoring, cohort analysis, and dropout modeling</w:t>
            </w:r>
          </w:p>
        </w:tc>
      </w:tr>
      <w:tr>
        <w:tc>
          <w:tcPr>
            <w:tcW w:type="dxa" w:w="21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Metadata Management</w:t>
            </w:r>
          </w:p>
        </w:tc>
        <w:tc>
          <w:tcPr>
            <w:tcW w:type="dxa" w:w="25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All five source systems: Admissions, LMS, Finance, Academic Records, Student Affairs</w:t>
            </w:r>
          </w:p>
        </w:tc>
        <w:tc>
          <w:tcPr>
            <w:tcW w:type="dxa" w:w="25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Data lineage, business glossary, schema documentation</w:t>
            </w:r>
          </w:p>
        </w:tc>
        <w:tc>
          <w:tcPr>
            <w:tcW w:type="dxa" w:w="22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Ensures executives and faculty trust risk scores by knowing exactly how they are derived</w:t>
            </w:r>
          </w:p>
        </w:tc>
      </w:tr>
      <w:tr>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Analytics Sandbox</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Isolated copy of warehouse (dev/staging environment)</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Anonymized production data subsets</w:t>
            </w:r>
          </w:p>
        </w:tc>
        <w:tc>
          <w:tcPr>
            <w:tcW w:type="dxa" w:w="2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Data scientists experiment with dropout prediction models without touching live data</w:t>
            </w:r>
          </w:p>
        </w:tc>
      </w:tr>
      <w:tr>
        <w:tc>
          <w:tcPr>
            <w:tcW w:type="dxa" w:w="21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Access &amp; Consumption Tools</w:t>
            </w:r>
          </w:p>
        </w:tc>
        <w:tc>
          <w:tcPr>
            <w:tcW w:type="dxa" w:w="25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Power BI / Tableau dashboards; role-based portal for management, advisors, faculty</w:t>
            </w:r>
          </w:p>
        </w:tc>
        <w:tc>
          <w:tcPr>
            <w:tcW w:type="dxa" w:w="25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Aggregated KPIs, alert thresholds, student risk profiles</w:t>
            </w:r>
          </w:p>
        </w:tc>
        <w:tc>
          <w:tcPr>
            <w:tcW w:type="dxa" w:w="22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Tiered access: executives see institutional KPIs; advisors see named at-risk student lists</w:t>
            </w:r>
          </w:p>
        </w:tc>
      </w:tr>
    </w:tbl>
    <w:p>
      <w:pPr>
        <w:spacing w:after="120"/>
      </w:pPr>
      <w:r>
        <w:t xml:space="preserve"/>
      </w:r>
    </w:p>
    <w:p>
      <w:pPr>
        <w:pStyle w:val="Heading2"/>
        <w:spacing w:before="360" w:after="160"/>
      </w:pPr>
      <w:r>
        <w:rPr>
          <w:rFonts w:ascii="Calibri" w:cs="Calibri" w:eastAsia="Calibri" w:hAnsi="Calibri"/>
          <w:b/>
          <w:bCs/>
          <w:color w:val="2E75B6"/>
          <w:sz w:val="28"/>
          <w:szCs w:val="28"/>
        </w:rPr>
        <w:t xml:space="preserve">5.1 ETL / ELT Tools — The Integration Engine</w:t>
      </w:r>
    </w:p>
    <w:p>
      <w:pPr>
        <w:spacing w:after="180" w:line="340" w:lineRule="auto"/>
        <w:jc w:val="both"/>
      </w:pPr>
      <w:r>
        <w:rPr>
          <w:rFonts w:ascii="Calibri" w:cs="Calibri" w:eastAsia="Calibri" w:hAnsi="Calibri"/>
          <w:b w:val="false"/>
          <w:bCs w:val="false"/>
          <w:color w:val="1A1A2E"/>
          <w:sz w:val="22"/>
          <w:szCs w:val="22"/>
        </w:rPr>
        <w:t xml:space="preserve">ETL (Extract, Transform, Load) and its modern inversion ELT (Extract, Load, Transform) form the foundational integration mechanism between the institution's five OLTP systems and the central Lakehouse. The distinction between ETL and ELT is not merely technical — it is architectural. Traditional ETL transforms data before loading it, requiring a transformation engine outside the warehouse. ELT loads raw data into the warehouse first, then transforms in-place using the warehouse's native compute. For this institution, a hybrid approach is recommended.</w:t>
      </w:r>
    </w:p>
    <w:p>
      <w:pPr>
        <w:spacing w:after="120"/>
      </w:pPr>
      <w:r>
        <w:t xml:space="preserve"/>
      </w:r>
    </w:p>
    <w:p>
      <w:pPr>
        <w:spacing w:after="180" w:line="340" w:lineRule="auto"/>
        <w:jc w:val="both"/>
      </w:pPr>
      <w:r>
        <w:rPr>
          <w:rFonts w:ascii="Calibri" w:cs="Calibri" w:eastAsia="Calibri" w:hAnsi="Calibri"/>
          <w:b w:val="false"/>
          <w:bCs w:val="false"/>
          <w:color w:val="1A1A2E"/>
          <w:sz w:val="22"/>
          <w:szCs w:val="22"/>
        </w:rPr>
        <w:t xml:space="preserve">For structured, high-regularity data sources — the Admissions System, Student Finance System, and Academic Records System — traditional ETL is appropriate. These systems generate predictable, schema-stable data at batch intervals (daily for finance and academic records; event-driven for admissions). Transformation rules for these sources are well-understood and stable: standardising student identifier formats, normalising date schemas, resolving demographic field inconsistencies across intake cohorts.</w:t>
      </w:r>
    </w:p>
    <w:p>
      <w:pPr>
        <w:spacing w:after="180" w:line="340" w:lineRule="auto"/>
        <w:jc w:val="both"/>
      </w:pPr>
      <w:r>
        <w:rPr>
          <w:rFonts w:ascii="Calibri" w:cs="Calibri" w:eastAsia="Calibri" w:hAnsi="Calibri"/>
          <w:b w:val="false"/>
          <w:bCs w:val="false"/>
          <w:color w:val="1A1A2E"/>
          <w:sz w:val="22"/>
          <w:szCs w:val="22"/>
        </w:rPr>
        <w:t xml:space="preserve">For high-volume, semi-structured sources — LMS event logs and Student Affairs records — ELT is preferable. LMS clickstream data arrives continuously, lacks a rigid schema, and includes nested structures (session JSON objects, forum thread metadata) that are better preserved in raw form and transformed on demand. Loading raw LMS data into the Lakehouse's landing zone and transforming it within the warehouse's compute layer (using Spark SQL or dbt) avoids bottlenecks at the ingestion stage and preserves data fidelity for future analytical use cases not yet anticipated.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CCCCC" w:sz="1"/>
              <w:left w:val="single" w:color="CCCCCC" w:sz="1"/>
              <w:bottom w:val="single" w:color="CCCCCC" w:sz="1"/>
              <w:right w:val="none" w:color="FFFFFF" w:sz="0"/>
            </w:tcBorders>
            <w:shd w:fill="2E75B6" w:val="clear"/>
            <w:tcMar>
              <w:top w:type="dxa" w:w="120"/>
              <w:left w:type="dxa" w:w="80"/>
              <w:bottom w:type="dxa" w:w="120"/>
              <w:right w:type="dxa" w:w="80"/>
            </w:tcMar>
            <w:vAlign w:val="center"/>
          </w:tcPr>
          <w:p>
            <w:pPr>
              <w:jc w:val="center"/>
            </w:pPr>
            <w:r>
              <w:rPr>
                <w:rFonts w:ascii="Calibri" w:cs="Calibri" w:eastAsia="Calibri" w:hAnsi="Calibri"/>
                <w:b/>
                <w:bCs/>
                <w:color w:val="FFFFFF"/>
                <w:sz w:val="18"/>
                <w:szCs w:val="18"/>
              </w:rPr>
              <w:t xml:space="preserve">TOOL RECOMMENDATION</w:t>
            </w:r>
          </w:p>
        </w:tc>
        <w:tc>
          <w:tcPr>
            <w:tcW w:type="dxa" w:w="9060"/>
            <w:tcBorders>
              <w:top w:val="single" w:color="CCCCCC" w:sz="1"/>
              <w:left w:val="none" w:color="FFFFFF" w:sz="0"/>
              <w:bottom w:val="single" w:color="CCCCCC" w:sz="1"/>
              <w:right w:val="single" w:color="CCCCCC" w:sz="1"/>
            </w:tcBorders>
            <w:shd w:fill="F5F5F5" w:val="clear"/>
            <w:tcMar>
              <w:top w:type="dxa" w:w="120"/>
              <w:left w:type="dxa" w:w="160"/>
              <w:bottom w:type="dxa" w:w="120"/>
              <w:right w:type="dxa" w:w="160"/>
            </w:tcMar>
          </w:tcPr>
          <w:p>
            <w:r>
              <w:rPr>
                <w:rFonts w:ascii="Calibri" w:cs="Calibri" w:eastAsia="Calibri" w:hAnsi="Calibri"/>
                <w:color w:val="1A1A2E"/>
                <w:sz w:val="21"/>
                <w:szCs w:val="21"/>
              </w:rPr>
              <w:t xml:space="preserve">Apache Airflow (orchestration) with dbt (transformation) on a cloud warehouse (Snowflake or Databricks Delta Lake) provides the optimal ETL/ELT stack for a private university at this scale. Both are open-source-core with managed cloud options, avoiding vendor lock-in.</w:t>
            </w:r>
          </w:p>
        </w:tc>
      </w:tr>
    </w:tbl>
    <w:p>
      <w:pPr>
        <w:pStyle w:val="Heading2"/>
        <w:spacing w:before="360" w:after="160"/>
      </w:pPr>
      <w:r>
        <w:rPr>
          <w:rFonts w:ascii="Calibri" w:cs="Calibri" w:eastAsia="Calibri" w:hAnsi="Calibri"/>
          <w:b/>
          <w:bCs/>
          <w:color w:val="2E75B6"/>
          <w:sz w:val="28"/>
          <w:szCs w:val="28"/>
        </w:rPr>
        <w:t xml:space="preserve">5.2 API Layer — Real-Time and Near-Real-Time Ingestion</w:t>
      </w:r>
    </w:p>
    <w:p>
      <w:pPr>
        <w:spacing w:after="180" w:line="340" w:lineRule="auto"/>
        <w:jc w:val="both"/>
      </w:pPr>
      <w:r>
        <w:rPr>
          <w:rFonts w:ascii="Calibri" w:cs="Calibri" w:eastAsia="Calibri" w:hAnsi="Calibri"/>
          <w:b w:val="false"/>
          <w:bCs w:val="false"/>
          <w:color w:val="1A1A2E"/>
          <w:sz w:val="22"/>
          <w:szCs w:val="22"/>
        </w:rPr>
        <w:t xml:space="preserve">The ETL/ELT pipeline handles batch data adequately but is insufficient for the early warning use case. A student's LMS engagement can deteriorate meaningfully within 48–72 hours — a daily batch cycle is too slow to catch the signal. The API layer addresses this by enabling continuous, near-real-time data ingestion from systems that expose event-driven APIs.</w:t>
      </w:r>
    </w:p>
    <w:p>
      <w:pPr>
        <w:spacing w:after="180" w:line="340" w:lineRule="auto"/>
        <w:jc w:val="both"/>
      </w:pPr>
      <w:r>
        <w:rPr>
          <w:rFonts w:ascii="Calibri" w:cs="Calibri" w:eastAsia="Calibri" w:hAnsi="Calibri"/>
          <w:b w:val="false"/>
          <w:bCs w:val="false"/>
          <w:color w:val="1A1A2E"/>
          <w:sz w:val="22"/>
          <w:szCs w:val="22"/>
        </w:rPr>
        <w:t xml:space="preserve">The LMS (Moodle, Canvas, or equivalent) generates event streams via REST API and webhook notifications: login events, assignment submission events, grade release events, and discussion participation events. These events, ingested continuously via the API layer and streamed into the Lakehouse landing zone using Apache Kafka or AWS Kinesis, enable the early warning engine to operate on data that is hours old rather than days old. For a retention intervention system targeting weeks three to five, this latency difference is operationally significant.</w:t>
      </w:r>
    </w:p>
    <w:p>
      <w:pPr>
        <w:spacing w:after="180" w:line="340" w:lineRule="auto"/>
        <w:jc w:val="both"/>
      </w:pPr>
      <w:r>
        <w:rPr>
          <w:rFonts w:ascii="Calibri" w:cs="Calibri" w:eastAsia="Calibri" w:hAnsi="Calibri"/>
          <w:b w:val="false"/>
          <w:bCs w:val="false"/>
          <w:color w:val="1A1A2E"/>
          <w:sz w:val="22"/>
          <w:szCs w:val="22"/>
        </w:rPr>
        <w:t xml:space="preserve">The student finance portal exposes API endpoints for payment status updates — a fee arrear that appears on Monday morning can trigger an alert to the student support team by Monday afternoon, rather than appearing in a weekly batch report on Friday. Student mobile applications and welfare check-in platforms similarly expose REST APIs that feed welfare and engagement signals in near-real-time. The API layer is the architectural component that transforms the early warning system from a weekly retrospective report into a live risk monitoring engine.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CCCCC" w:sz="1"/>
              <w:left w:val="single" w:color="CCCCCC" w:sz="1"/>
              <w:bottom w:val="single" w:color="CCCCCC" w:sz="1"/>
              <w:right w:val="none" w:color="FFFFFF" w:sz="0"/>
            </w:tcBorders>
            <w:shd w:fill="C0392B" w:val="clear"/>
            <w:tcMar>
              <w:top w:type="dxa" w:w="120"/>
              <w:left w:type="dxa" w:w="80"/>
              <w:bottom w:type="dxa" w:w="120"/>
              <w:right w:type="dxa" w:w="80"/>
            </w:tcMar>
            <w:vAlign w:val="center"/>
          </w:tcPr>
          <w:p>
            <w:pPr>
              <w:jc w:val="center"/>
            </w:pPr>
            <w:r>
              <w:rPr>
                <w:rFonts w:ascii="Calibri" w:cs="Calibri" w:eastAsia="Calibri" w:hAnsi="Calibri"/>
                <w:b/>
                <w:bCs/>
                <w:color w:val="FFFFFF"/>
                <w:sz w:val="18"/>
                <w:szCs w:val="18"/>
              </w:rPr>
              <w:t xml:space="preserve">SECURITY NOTE</w:t>
            </w:r>
          </w:p>
        </w:tc>
        <w:tc>
          <w:tcPr>
            <w:tcW w:type="dxa" w:w="9060"/>
            <w:tcBorders>
              <w:top w:val="single" w:color="CCCCCC" w:sz="1"/>
              <w:left w:val="none" w:color="FFFFFF" w:sz="0"/>
              <w:bottom w:val="single" w:color="CCCCCC" w:sz="1"/>
              <w:right w:val="single" w:color="CCCCCC" w:sz="1"/>
            </w:tcBorders>
            <w:shd w:fill="F5F5F5" w:val="clear"/>
            <w:tcMar>
              <w:top w:type="dxa" w:w="120"/>
              <w:left w:type="dxa" w:w="160"/>
              <w:bottom w:type="dxa" w:w="120"/>
              <w:right w:type="dxa" w:w="160"/>
            </w:tcMar>
          </w:tcPr>
          <w:p>
            <w:r>
              <w:rPr>
                <w:rFonts w:ascii="Calibri" w:cs="Calibri" w:eastAsia="Calibri" w:hAnsi="Calibri"/>
                <w:color w:val="1A1A2E"/>
                <w:sz w:val="21"/>
                <w:szCs w:val="21"/>
              </w:rPr>
              <w:t xml:space="preserve">All API integrations must be authenticated via OAuth 2.0 or API key rotation policies. Event payloads containing student PII must be encrypted in transit (TLS 1.3) and at rest. The API layer must sit behind the institution's identity management system to enforce role-based access at the ingestion point.</w:t>
            </w:r>
          </w:p>
        </w:tc>
      </w:tr>
    </w:tbl>
    <w:p>
      <w:pPr>
        <w:pStyle w:val="Heading2"/>
        <w:spacing w:before="360" w:after="160"/>
      </w:pPr>
      <w:r>
        <w:rPr>
          <w:rFonts w:ascii="Calibri" w:cs="Calibri" w:eastAsia="Calibri" w:hAnsi="Calibri"/>
          <w:b/>
          <w:bCs/>
          <w:color w:val="2E75B6"/>
          <w:sz w:val="28"/>
          <w:szCs w:val="28"/>
        </w:rPr>
        <w:t xml:space="preserve">5.3 Data Layer — The Central Lakehouse</w:t>
      </w:r>
    </w:p>
    <w:p>
      <w:pPr>
        <w:spacing w:after="180" w:line="340" w:lineRule="auto"/>
        <w:jc w:val="both"/>
      </w:pPr>
      <w:r>
        <w:rPr>
          <w:rFonts w:ascii="Calibri" w:cs="Calibri" w:eastAsia="Calibri" w:hAnsi="Calibri"/>
          <w:b w:val="false"/>
          <w:bCs w:val="false"/>
          <w:color w:val="1A1A2E"/>
          <w:sz w:val="22"/>
          <w:szCs w:val="22"/>
        </w:rPr>
        <w:t xml:space="preserve">The central data layer — the Lakehouse — is the institutional single source of analytical truth. Its separation from transactional OLTP systems is non-negotiable and architecturally foundational. The reasons are both technical and organisational.</w:t>
      </w:r>
    </w:p>
    <w:p>
      <w:pPr>
        <w:spacing w:after="180" w:line="340" w:lineRule="auto"/>
        <w:jc w:val="both"/>
      </w:pPr>
      <w:r>
        <w:rPr>
          <w:rFonts w:ascii="Calibri" w:cs="Calibri" w:eastAsia="Calibri" w:hAnsi="Calibri"/>
          <w:b w:val="false"/>
          <w:bCs w:val="false"/>
          <w:color w:val="1A1A2E"/>
          <w:sz w:val="22"/>
          <w:szCs w:val="22"/>
        </w:rPr>
        <w:t xml:space="preserve">Technically, analytical queries — cohort comparisons, multi-year retention trend analysis, ML model training — impose computational loads that would degrade the performance of transactional systems if run against them directly. An admissions officer attempting to register a student while a data scientist is training a dropout model against the admissions database is an architectural failure, not a user error. The Lakehouse carries all analytical workloads, leaving OLTP systems to perform their transactional functions without interference.</w:t>
      </w:r>
    </w:p>
    <w:p>
      <w:pPr>
        <w:spacing w:after="180" w:line="340" w:lineRule="auto"/>
        <w:jc w:val="both"/>
      </w:pPr>
      <w:r>
        <w:rPr>
          <w:rFonts w:ascii="Calibri" w:cs="Calibri" w:eastAsia="Calibri" w:hAnsi="Calibri"/>
          <w:b w:val="false"/>
          <w:bCs w:val="false"/>
          <w:color w:val="1A1A2E"/>
          <w:sz w:val="22"/>
          <w:szCs w:val="22"/>
        </w:rPr>
        <w:t xml:space="preserve">Organisationally, the separation creates a governed, auditable record of institutional data that is not subject to the operational changes that affect OLTP systems (schema migrations, system upgrades, vendor changes). The Lakehouse maintains a historical record of student journeys — from application through graduation or withdrawal — that persists independently of the operational systems that originally generated it. This historical depth is the single most important enabler of the dropout prediction model: it is only by analysing the complete trajectories of prior cohorts that the model can learn which early signals predict eventual withdrawal.</w:t>
      </w:r>
    </w:p>
    <w:p>
      <w:pPr>
        <w:spacing w:after="180" w:line="340" w:lineRule="auto"/>
        <w:jc w:val="both"/>
      </w:pPr>
      <w:r>
        <w:rPr>
          <w:rFonts w:ascii="Calibri" w:cs="Calibri" w:eastAsia="Calibri" w:hAnsi="Calibri"/>
          <w:b w:val="false"/>
          <w:bCs w:val="false"/>
          <w:color w:val="1A1A2E"/>
          <w:sz w:val="22"/>
          <w:szCs w:val="22"/>
        </w:rPr>
        <w:t xml:space="preserve">The Lakehouse is structured in three layers: a raw landing zone (immutable, ingested data preserved exactly as received), a curated silver layer (cleaned, standardised, integrated data conforming to the institutional data model), and a gold layer (aggregated, analytics-ready data serving specific use cases: the retention dashboard, the risk scoring engine, the financial sustainability model).</w:t>
      </w:r>
    </w:p>
    <w:p>
      <w:pPr>
        <w:pStyle w:val="Heading2"/>
        <w:spacing w:before="360" w:after="160"/>
      </w:pPr>
      <w:r>
        <w:rPr>
          <w:rFonts w:ascii="Calibri" w:cs="Calibri" w:eastAsia="Calibri" w:hAnsi="Calibri"/>
          <w:b/>
          <w:bCs/>
          <w:color w:val="2E75B6"/>
          <w:sz w:val="28"/>
          <w:szCs w:val="28"/>
        </w:rPr>
        <w:t xml:space="preserve">5.4 Metadata Management — The Governance Foundation</w:t>
      </w:r>
    </w:p>
    <w:p>
      <w:pPr>
        <w:spacing w:after="180" w:line="340" w:lineRule="auto"/>
        <w:jc w:val="both"/>
      </w:pPr>
      <w:r>
        <w:rPr>
          <w:rFonts w:ascii="Calibri" w:cs="Calibri" w:eastAsia="Calibri" w:hAnsi="Calibri"/>
          <w:b w:val="false"/>
          <w:bCs w:val="false"/>
          <w:color w:val="1A1A2E"/>
          <w:sz w:val="22"/>
          <w:szCs w:val="22"/>
        </w:rPr>
        <w:t xml:space="preserve">Metadata management is the component most frequently underspecified in university data strategies and most frequently blamed when those strategies fail. A data warehouse without metadata management is a warehouse without labels, addresses, or an inventory system: technically functional but practically unusable at scale.</w:t>
      </w:r>
    </w:p>
    <w:p>
      <w:pPr>
        <w:spacing w:after="180" w:line="340" w:lineRule="auto"/>
        <w:jc w:val="both"/>
      </w:pPr>
      <w:r>
        <w:rPr>
          <w:rFonts w:ascii="Calibri" w:cs="Calibri" w:eastAsia="Calibri" w:hAnsi="Calibri"/>
          <w:b w:val="false"/>
          <w:bCs w:val="false"/>
          <w:color w:val="1A1A2E"/>
          <w:sz w:val="22"/>
          <w:szCs w:val="22"/>
        </w:rPr>
        <w:t xml:space="preserve">In the university context, metadata management serves three critical functions. First, data lineage: every student risk score presented in a faculty dashboard must be traceable to its source — which LMS event, which fee balance, which grade record contributed to the score, and through which transformation steps. When a faculty member challenges a risk score — asking why a student is flagged as high-risk despite attending every class —, the metadata layer provides the answer. Without it, the score is indefensible and trust in the system collapses.</w:t>
      </w:r>
    </w:p>
    <w:p>
      <w:pPr>
        <w:spacing w:after="180" w:line="340" w:lineRule="auto"/>
        <w:jc w:val="both"/>
      </w:pPr>
      <w:r>
        <w:rPr>
          <w:rFonts w:ascii="Calibri" w:cs="Calibri" w:eastAsia="Calibri" w:hAnsi="Calibri"/>
          <w:b w:val="false"/>
          <w:bCs w:val="false"/>
          <w:color w:val="1A1A2E"/>
          <w:sz w:val="22"/>
          <w:szCs w:val="22"/>
        </w:rPr>
        <w:t xml:space="preserve">Second, the business glossary: the institution must agree on the precise meaning of terms that appear deceptively simple but are genuinely ambiguous. What is the definition of 'at-risk'? At what threshold does a student's GPA constitute 'academic underperformance'? What constitutes 'financial distress'? These definitions must be codified in the metadata layer, version-controlled, and approved by data stewards. Inconsistent definitions between the Registrar's analysis and the Vice-Chancellor's dashboard are a governance failure — one that metadata management prevents.</w:t>
      </w:r>
    </w:p>
    <w:p>
      <w:pPr>
        <w:spacing w:after="180" w:line="340" w:lineRule="auto"/>
        <w:jc w:val="both"/>
      </w:pPr>
      <w:r>
        <w:rPr>
          <w:rFonts w:ascii="Calibri" w:cs="Calibri" w:eastAsia="Calibri" w:hAnsi="Calibri"/>
          <w:b w:val="false"/>
          <w:bCs w:val="false"/>
          <w:color w:val="1A1A2E"/>
          <w:sz w:val="22"/>
          <w:szCs w:val="22"/>
        </w:rPr>
        <w:t xml:space="preserve">Third, data quality tracking: the metadata layer records the completeness, accuracy, and timeliness of each data source's contribution to the warehouse. When the Student Affairs system fails to transmit counselling records for a week, the metadata system flags the gap. Data quality scores for each source feed into the overall data quality KPI and alert the relevant data steward before the gap propagates into analytical outputs.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CCCCC" w:sz="1"/>
              <w:left w:val="single" w:color="CCCCCC" w:sz="1"/>
              <w:bottom w:val="single" w:color="CCCCCC" w:sz="1"/>
              <w:right w:val="none" w:color="FFFFFF" w:sz="0"/>
            </w:tcBorders>
            <w:shd w:fill="0D6E6E" w:val="clear"/>
            <w:tcMar>
              <w:top w:type="dxa" w:w="120"/>
              <w:left w:type="dxa" w:w="80"/>
              <w:bottom w:type="dxa" w:w="120"/>
              <w:right w:type="dxa" w:w="80"/>
            </w:tcMar>
            <w:vAlign w:val="center"/>
          </w:tcPr>
          <w:p>
            <w:pPr>
              <w:jc w:val="center"/>
            </w:pPr>
            <w:r>
              <w:rPr>
                <w:rFonts w:ascii="Calibri" w:cs="Calibri" w:eastAsia="Calibri" w:hAnsi="Calibri"/>
                <w:b/>
                <w:bCs/>
                <w:color w:val="FFFFFF"/>
                <w:sz w:val="18"/>
                <w:szCs w:val="18"/>
              </w:rPr>
              <w:t xml:space="preserve">TOOL RECOMMENDATION</w:t>
            </w:r>
          </w:p>
        </w:tc>
        <w:tc>
          <w:tcPr>
            <w:tcW w:type="dxa" w:w="9060"/>
            <w:tcBorders>
              <w:top w:val="single" w:color="CCCCCC" w:sz="1"/>
              <w:left w:val="none" w:color="FFFFFF" w:sz="0"/>
              <w:bottom w:val="single" w:color="CCCCCC" w:sz="1"/>
              <w:right w:val="single" w:color="CCCCCC" w:sz="1"/>
            </w:tcBorders>
            <w:shd w:fill="F5F5F5" w:val="clear"/>
            <w:tcMar>
              <w:top w:type="dxa" w:w="120"/>
              <w:left w:type="dxa" w:w="160"/>
              <w:bottom w:type="dxa" w:w="120"/>
              <w:right w:type="dxa" w:w="160"/>
            </w:tcMar>
          </w:tcPr>
          <w:p>
            <w:r>
              <w:rPr>
                <w:rFonts w:ascii="Calibri" w:cs="Calibri" w:eastAsia="Calibri" w:hAnsi="Calibri"/>
                <w:color w:val="1A1A2E"/>
                <w:sz w:val="21"/>
                <w:szCs w:val="21"/>
              </w:rPr>
              <w:t xml:space="preserve">Apache Atlas (open-source) or DataHub provides the metadata management capability required. Integration with dbt's built-in lineage tracking creates a unified metadata layer covering both pipeline logic and warehouse content.</w:t>
            </w:r>
          </w:p>
        </w:tc>
      </w:tr>
    </w:tbl>
    <w:p>
      <w:pPr>
        <w:pStyle w:val="Heading2"/>
        <w:spacing w:before="360" w:after="160"/>
      </w:pPr>
      <w:r>
        <w:rPr>
          <w:rFonts w:ascii="Calibri" w:cs="Calibri" w:eastAsia="Calibri" w:hAnsi="Calibri"/>
          <w:b/>
          <w:bCs/>
          <w:color w:val="2E75B6"/>
          <w:sz w:val="28"/>
          <w:szCs w:val="28"/>
        </w:rPr>
        <w:t xml:space="preserve">5.5 Analytics Sandbox — Safe Experimentation at Institutional Scale</w:t>
      </w:r>
    </w:p>
    <w:p>
      <w:pPr>
        <w:spacing w:after="180" w:line="340" w:lineRule="auto"/>
        <w:jc w:val="both"/>
      </w:pPr>
      <w:r>
        <w:rPr>
          <w:rFonts w:ascii="Calibri" w:cs="Calibri" w:eastAsia="Calibri" w:hAnsi="Calibri"/>
          <w:b w:val="false"/>
          <w:bCs w:val="false"/>
          <w:color w:val="1A1A2E"/>
          <w:sz w:val="22"/>
          <w:szCs w:val="22"/>
        </w:rPr>
        <w:t xml:space="preserve">The analytics sandbox is a governed, isolated environment that provides data scientists and senior analysts with access to realistic, anonymised production data for model development, hypothesis testing, and exploratory analysis — without any risk of affecting the production data warehouse, the live dashboards, or the operational early warning system.</w:t>
      </w:r>
    </w:p>
    <w:p>
      <w:pPr>
        <w:spacing w:after="180" w:line="340" w:lineRule="auto"/>
        <w:jc w:val="both"/>
      </w:pPr>
      <w:r>
        <w:rPr>
          <w:rFonts w:ascii="Calibri" w:cs="Calibri" w:eastAsia="Calibri" w:hAnsi="Calibri"/>
          <w:b w:val="false"/>
          <w:bCs w:val="false"/>
          <w:color w:val="1A1A2E"/>
          <w:sz w:val="22"/>
          <w:szCs w:val="22"/>
        </w:rPr>
        <w:t xml:space="preserve">For the dropout prediction model specifically, the sandbox is the environment in which five to seven years of historical student cohort data is made available in anonymised form (student identifiers replaced with pseudonymous keys, direct PII removed or k-anonymised) for machine learning experimentation. Data scientists develop, train, validate, and stress-test candidate models in the sandbox. Models that pass accuracy thresholds (&gt;0.80 AUC on holdout test sets), fairness audits (no statistically significant bias by demographic group), and performance benchmarks are promoted through a CI/CD pipeline into the production scoring environment.</w:t>
      </w:r>
    </w:p>
    <w:p>
      <w:pPr>
        <w:spacing w:after="180" w:line="340" w:lineRule="auto"/>
        <w:jc w:val="both"/>
      </w:pPr>
      <w:r>
        <w:rPr>
          <w:rFonts w:ascii="Calibri" w:cs="Calibri" w:eastAsia="Calibri" w:hAnsi="Calibri"/>
          <w:b w:val="false"/>
          <w:bCs w:val="false"/>
          <w:color w:val="1A1A2E"/>
          <w:sz w:val="22"/>
          <w:szCs w:val="22"/>
        </w:rPr>
        <w:t xml:space="preserve">The sandbox is not a permanent data copy — it is refreshed on a scheduled basis (weekly or monthly, depending on model development cycles) from a governed snapshot of the production Lakehouse. Access is restricted to data scientists and senior analysts under a separate RBAC policy, and all sandbox activity is logged in the metadata system.</w:t>
      </w:r>
    </w:p>
    <w:p>
      <w:pPr>
        <w:pStyle w:val="Heading2"/>
        <w:spacing w:before="360" w:after="160"/>
      </w:pPr>
      <w:r>
        <w:rPr>
          <w:rFonts w:ascii="Calibri" w:cs="Calibri" w:eastAsia="Calibri" w:hAnsi="Calibri"/>
          <w:b/>
          <w:bCs/>
          <w:color w:val="2E75B6"/>
          <w:sz w:val="28"/>
          <w:szCs w:val="28"/>
        </w:rPr>
        <w:t xml:space="preserve">5.6 Access and Consumption Tools — Tiered Analytics for Every Stakeholder</w:t>
      </w:r>
    </w:p>
    <w:p>
      <w:pPr>
        <w:spacing w:after="180" w:line="340" w:lineRule="auto"/>
        <w:jc w:val="both"/>
      </w:pPr>
      <w:r>
        <w:rPr>
          <w:rFonts w:ascii="Calibri" w:cs="Calibri" w:eastAsia="Calibri" w:hAnsi="Calibri"/>
          <w:b w:val="false"/>
          <w:bCs w:val="false"/>
          <w:color w:val="1A1A2E"/>
          <w:sz w:val="22"/>
          <w:szCs w:val="22"/>
        </w:rPr>
        <w:t xml:space="preserve">The most technically sophisticated data warehouse produces no institutional value if its outputs are not accessible to the people who need them, in a format they can use, at the granularity appropriate to their role. The access and consumption layer is the strategic interface between the Lakehouse architecture and institutional decision-making.</w:t>
      </w:r>
    </w:p>
    <w:p>
      <w:pPr>
        <w:spacing w:after="180" w:line="340" w:lineRule="auto"/>
        <w:jc w:val="both"/>
      </w:pPr>
      <w:r>
        <w:rPr>
          <w:rFonts w:ascii="Calibri" w:cs="Calibri" w:eastAsia="Calibri" w:hAnsi="Calibri"/>
          <w:b w:val="false"/>
          <w:bCs w:val="false"/>
          <w:color w:val="1A1A2E"/>
          <w:sz w:val="22"/>
          <w:szCs w:val="22"/>
        </w:rPr>
        <w:t xml:space="preserve">The institution requires four distinct access tiers. The Executive Dashboard provides the Vice-Chancellor, Deans, and Registrar with aggregate institutional KPIs: first-year retention rate by faculty, financial sustainability indicators, and period-over-period trend analysis. This tier requires no technical literacy — it is a visual summary, refreshed daily, accessible via secure browser interface.</w:t>
      </w:r>
    </w:p>
    <w:p>
      <w:pPr>
        <w:spacing w:after="180" w:line="340" w:lineRule="auto"/>
        <w:jc w:val="both"/>
      </w:pPr>
      <w:r>
        <w:rPr>
          <w:rFonts w:ascii="Calibri" w:cs="Calibri" w:eastAsia="Calibri" w:hAnsi="Calibri"/>
          <w:b w:val="false"/>
          <w:bCs w:val="false"/>
          <w:color w:val="1A1A2E"/>
          <w:sz w:val="22"/>
          <w:szCs w:val="22"/>
        </w:rPr>
        <w:t xml:space="preserve">The Faculty Advisor Portal provides academic advisors and personal tutors with a student-level view: the risk score and contributing factors for each student on their caseload, updated weekly (or daily during critical weeks three to six). This is the primary intervention trigger — the advisor reviews their flagged students each Monday morning and initiates contact with those above the risk threshold.</w:t>
      </w:r>
    </w:p>
    <w:p>
      <w:pPr>
        <w:spacing w:after="180" w:line="340" w:lineRule="auto"/>
        <w:jc w:val="both"/>
      </w:pPr>
      <w:r>
        <w:rPr>
          <w:rFonts w:ascii="Calibri" w:cs="Calibri" w:eastAsia="Calibri" w:hAnsi="Calibri"/>
          <w:b w:val="false"/>
          <w:bCs w:val="false"/>
          <w:color w:val="1A1A2E"/>
          <w:sz w:val="22"/>
          <w:szCs w:val="22"/>
        </w:rPr>
        <w:t xml:space="preserve">The Analyst Workbench provides institutional research staff with direct access to the curated silver and gold layers of the Lakehouse, via SQL query interfaces and BI tools (Power BI or Tableau). This tier supports ad-hoc analysis, programme evaluation, and the ongoing refinement of KPI definitions.</w:t>
      </w:r>
    </w:p>
    <w:p>
      <w:pPr>
        <w:spacing w:after="180" w:line="340" w:lineRule="auto"/>
        <w:jc w:val="both"/>
      </w:pPr>
      <w:r>
        <w:rPr>
          <w:rFonts w:ascii="Calibri" w:cs="Calibri" w:eastAsia="Calibri" w:hAnsi="Calibri"/>
          <w:b w:val="false"/>
          <w:bCs w:val="false"/>
          <w:color w:val="1A1A2E"/>
          <w:sz w:val="22"/>
          <w:szCs w:val="22"/>
        </w:rPr>
        <w:t xml:space="preserve">The API Output Layer exposes risk scores and aggregate metrics via REST API to third-party applications: student-facing wellbeing apps, advisor case management tools, and institutional reporting platforms. This tier enables the architecture to serve as a data platform, not merely a reporting warehouse — extending its value to external integrations without replicating data outside the governed environment.</w:t>
      </w:r>
    </w:p>
    <w:p>
      <w:r>
        <w:br w:type="page"/>
      </w:r>
    </w:p>
    <w:p>
      <w:pPr>
        <w:pStyle w:val="Heading1"/>
        <w:pBdr>
          <w:bottom w:val="thick" w:color="1E3A5F" w:sz="8"/>
        </w:pBdr>
        <w:spacing w:before="480" w:after="200"/>
      </w:pPr>
      <w:r>
        <w:rPr>
          <w:rFonts w:ascii="Calibri" w:cs="Calibri" w:eastAsia="Calibri" w:hAnsi="Calibri"/>
          <w:b/>
          <w:bCs/>
          <w:color w:val="1E3A5F"/>
          <w:sz w:val="34"/>
          <w:szCs w:val="34"/>
        </w:rPr>
        <w:t xml:space="preserve">6. Data Warehouse Type Evaluation — Critical Analysis</w:t>
      </w:r>
    </w:p>
    <w:p>
      <w:pPr>
        <w:spacing w:after="180" w:line="340" w:lineRule="auto"/>
        <w:jc w:val="both"/>
      </w:pPr>
      <w:r>
        <w:rPr>
          <w:rFonts w:ascii="Calibri" w:cs="Calibri" w:eastAsia="Calibri" w:hAnsi="Calibri"/>
          <w:b w:val="false"/>
          <w:bCs w:val="false"/>
          <w:color w:val="1A1A2E"/>
          <w:sz w:val="22"/>
          <w:szCs w:val="22"/>
        </w:rPr>
        <w:t xml:space="preserve">Three primary warehouse paradigms are available to the institution: the Enterprise Data Warehouse (EDW), the Operational Data Store (ODS), and the Data Mart. Each addresses a different set of analytical requirements and carries distinct limitations in a higher-education context. The selection of the wrong paradigm at this stage is not merely a technical mistake — it is a multi-year investment in infrastructure that constrains the institution's analytical ambitions. A rigorous comparative assessment is therefore prerequisite to any architecture decision.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560"/>
        <w:gridCol w:w="2560"/>
        <w:gridCol w:w="2560"/>
      </w:tblGrid>
      <w:tr>
        <w:tc>
          <w:tcPr>
            <w:tcW w:type="dxa" w:w="168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Criterion</w:t>
            </w:r>
          </w:p>
        </w:tc>
        <w:tc>
          <w:tcPr>
            <w:tcW w:type="dxa" w:w="256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Enterprise Data Warehouse (EDW)</w:t>
            </w:r>
          </w:p>
        </w:tc>
        <w:tc>
          <w:tcPr>
            <w:tcW w:type="dxa" w:w="256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Operational Data Store (ODS)</w:t>
            </w:r>
          </w:p>
        </w:tc>
        <w:tc>
          <w:tcPr>
            <w:tcW w:type="dxa" w:w="256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Data Mart</w:t>
            </w:r>
          </w:p>
        </w:tc>
      </w:tr>
      <w:tr>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Primary Purpose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Long-term strategic analytics across entire institution</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Near-real-time operational queries and reporting</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Departmental analytics for a single function (e.g., Finance)</w:t>
            </w:r>
          </w:p>
        </w:tc>
      </w:tr>
      <w:tr>
        <w:tc>
          <w:tcPr>
            <w:tcW w:type="dxa" w:w="16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Data Scope</w:t>
            </w:r>
          </w:p>
        </w:tc>
        <w:tc>
          <w:tcPr>
            <w:tcW w:type="dxa" w:w="2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All subject areas: students, finance, HR, enrolment, research</w:t>
            </w:r>
          </w:p>
        </w:tc>
        <w:tc>
          <w:tcPr>
            <w:tcW w:type="dxa" w:w="2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Current-state snapshot of operational transactions</w:t>
            </w:r>
          </w:p>
        </w:tc>
        <w:tc>
          <w:tcPr>
            <w:tcW w:type="dxa" w:w="2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Narrow vertical: one faculty, one department, one use case</w:t>
            </w:r>
          </w:p>
        </w:tc>
      </w:tr>
      <w:tr>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Latency</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Hours to daily (batch ETL/ELT cycles)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Minutes to hours (near-real-time integration)</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Hours to daily (derived from EDW or OLTP)</w:t>
            </w:r>
          </w:p>
        </w:tc>
      </w:tr>
      <w:tr>
        <w:tc>
          <w:tcPr>
            <w:tcW w:type="dxa" w:w="16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Historical Depth</w:t>
            </w:r>
          </w:p>
        </w:tc>
        <w:tc>
          <w:tcPr>
            <w:tcW w:type="dxa" w:w="2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Full multi-year history; enables trend and cohort analysis</w:t>
            </w:r>
          </w:p>
        </w:tc>
        <w:tc>
          <w:tcPr>
            <w:tcW w:type="dxa" w:w="2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Rolling window only (typically 30–90 days)</w:t>
            </w:r>
          </w:p>
        </w:tc>
        <w:tc>
          <w:tcPr>
            <w:tcW w:type="dxa" w:w="2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Depends on EDW feed; limited independently</w:t>
            </w:r>
          </w:p>
        </w:tc>
      </w:tr>
      <w:tr>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Governance Complexity</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High — requires institution-wide standards and stewardship</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Moderate — operationally focused, fewer stakeholders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Low initially but creates fragmentation at scale</w:t>
            </w:r>
          </w:p>
        </w:tc>
      </w:tr>
      <w:tr>
        <w:tc>
          <w:tcPr>
            <w:tcW w:type="dxa" w:w="16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ML / Predictive Analytics</w:t>
            </w:r>
          </w:p>
        </w:tc>
        <w:tc>
          <w:tcPr>
            <w:tcW w:type="dxa" w:w="2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Fully supports model training on multi-year cohort data</w:t>
            </w:r>
          </w:p>
        </w:tc>
        <w:tc>
          <w:tcPr>
            <w:tcW w:type="dxa" w:w="2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Limited — insufficient historical depth for model training</w:t>
            </w:r>
          </w:p>
        </w:tc>
        <w:tc>
          <w:tcPr>
            <w:tcW w:type="dxa" w:w="2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Cannot support cross-domain models (e.g., financial + academic risk)</w:t>
            </w:r>
          </w:p>
        </w:tc>
      </w:tr>
      <w:tr>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Scalability</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Highly scalable; cloud EDW handles growing student volumes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Limited by operational system constraints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Proliferates into an unmanageable 'data mart sprawl'</w:t>
            </w:r>
          </w:p>
        </w:tc>
      </w:tr>
      <w:tr>
        <w:tc>
          <w:tcPr>
            <w:tcW w:type="dxa" w:w="168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Best Fit Scenario</w:t>
            </w:r>
          </w:p>
        </w:tc>
        <w:tc>
          <w:tcPr>
            <w:tcW w:type="dxa" w:w="2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Private university requiring integrated, strategic analytics across all departments</w:t>
            </w:r>
          </w:p>
        </w:tc>
        <w:tc>
          <w:tcPr>
            <w:tcW w:type="dxa" w:w="2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Supplementary layer for operational dashboards and alerts</w:t>
            </w:r>
          </w:p>
        </w:tc>
        <w:tc>
          <w:tcPr>
            <w:tcW w:type="dxa" w:w="2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Quick-win departmental reporting before EDW is built</w:t>
            </w:r>
          </w:p>
        </w:tc>
      </w:tr>
    </w:tbl>
    <w:p>
      <w:pPr>
        <w:spacing w:after="120"/>
      </w:pPr>
      <w:r>
        <w:t xml:space="preserve"/>
      </w:r>
    </w:p>
    <w:p>
      <w:pPr>
        <w:pStyle w:val="Heading2"/>
        <w:spacing w:before="360" w:after="160"/>
      </w:pPr>
      <w:r>
        <w:rPr>
          <w:rFonts w:ascii="Calibri" w:cs="Calibri" w:eastAsia="Calibri" w:hAnsi="Calibri"/>
          <w:b/>
          <w:bCs/>
          <w:color w:val="2E75B6"/>
          <w:sz w:val="28"/>
          <w:szCs w:val="28"/>
        </w:rPr>
        <w:t xml:space="preserve">6.1 Enterprise Data Warehouse (EDW)</w:t>
      </w:r>
    </w:p>
    <w:p>
      <w:pPr>
        <w:spacing w:after="180" w:line="340" w:lineRule="auto"/>
        <w:jc w:val="both"/>
      </w:pPr>
      <w:r>
        <w:rPr>
          <w:rFonts w:ascii="Calibri" w:cs="Calibri" w:eastAsia="Calibri" w:hAnsi="Calibri"/>
          <w:b w:val="false"/>
          <w:bCs w:val="false"/>
          <w:color w:val="1A1A2E"/>
          <w:sz w:val="22"/>
          <w:szCs w:val="22"/>
        </w:rPr>
        <w:t xml:space="preserve">The Enterprise Data Warehouse is a centralised, subject-oriented, integrated, non-volatile, and time-variant analytical store — Inmon's foundational definition remains architecturally relevant. For a private university, the EDW model addresses the core problem directly: it integrates data from all five operational systems into a single analytical environment governed by institution-wide standards, enabling cross-domain analyses that no single OLTP system can support.</w:t>
      </w:r>
    </w:p>
    <w:p>
      <w:pPr>
        <w:spacing w:after="180" w:line="340" w:lineRule="auto"/>
        <w:jc w:val="both"/>
      </w:pPr>
      <w:r>
        <w:rPr>
          <w:rFonts w:ascii="Calibri" w:cs="Calibri" w:eastAsia="Calibri" w:hAnsi="Calibri"/>
          <w:b w:val="false"/>
          <w:bCs w:val="false"/>
          <w:color w:val="1A1A2E"/>
          <w:sz w:val="22"/>
          <w:szCs w:val="22"/>
        </w:rPr>
        <w:t xml:space="preserve">The EDW's primary advantage is scope. A question such as 'What is the dropout rate among first-year students who both fail two or more assessments and carry an outstanding fee balance above a defined threshold?' requires data from Academic Records and Finance simultaneously. Only an integrated warehouse answers this question. The EDW is designed precisely for this class of query.</w:t>
      </w:r>
    </w:p>
    <w:p>
      <w:pPr>
        <w:spacing w:after="180" w:line="340" w:lineRule="auto"/>
        <w:jc w:val="both"/>
      </w:pPr>
      <w:r>
        <w:rPr>
          <w:rFonts w:ascii="Calibri" w:cs="Calibri" w:eastAsia="Calibri" w:hAnsi="Calibri"/>
          <w:b w:val="false"/>
          <w:bCs w:val="false"/>
          <w:color w:val="1A1A2E"/>
          <w:sz w:val="22"/>
          <w:szCs w:val="22"/>
        </w:rPr>
        <w:t xml:space="preserve">Its limitation in a higher-education context is primarily one of implementation complexity and governance maturity. A full EDW requires institution-wide data standards, consistent identifier schemas, agreed business glossary definitions, and a governance organisation to maintain them. For an institution at Level 1 analytics maturity, this is a three-to-five-year build, not a six-month deployment. The EDW remains the correct long-term target — but the path to it must be phased.</w:t>
      </w:r>
    </w:p>
    <w:p>
      <w:pPr>
        <w:pStyle w:val="Heading2"/>
        <w:spacing w:before="360" w:after="160"/>
      </w:pPr>
      <w:r>
        <w:rPr>
          <w:rFonts w:ascii="Calibri" w:cs="Calibri" w:eastAsia="Calibri" w:hAnsi="Calibri"/>
          <w:b/>
          <w:bCs/>
          <w:color w:val="2E75B6"/>
          <w:sz w:val="28"/>
          <w:szCs w:val="28"/>
        </w:rPr>
        <w:t xml:space="preserve">6.2 Operational Data Store (ODS)</w:t>
      </w:r>
    </w:p>
    <w:p>
      <w:pPr>
        <w:spacing w:after="180" w:line="340" w:lineRule="auto"/>
        <w:jc w:val="both"/>
      </w:pPr>
      <w:r>
        <w:rPr>
          <w:rFonts w:ascii="Calibri" w:cs="Calibri" w:eastAsia="Calibri" w:hAnsi="Calibri"/>
          <w:b w:val="false"/>
          <w:bCs w:val="false"/>
          <w:color w:val="1A1A2E"/>
          <w:sz w:val="22"/>
          <w:szCs w:val="22"/>
        </w:rPr>
        <w:t xml:space="preserve">The ODS is a near-real-time integration layer that consolidates current operational data from multiple source systems to support operational reporting and short-term decision-making. It is not a warehouse — it does not retain full historical data, it does not support complex analytical queries, and it is not designed for machine learning workloads. Its value lies in near-real-time visibility: an ODS can answer 'How many students logged into the LMS today?' far faster than a batch ETL warehouse.</w:t>
      </w:r>
    </w:p>
    <w:p>
      <w:pPr>
        <w:spacing w:after="180" w:line="340" w:lineRule="auto"/>
        <w:jc w:val="both"/>
      </w:pPr>
      <w:r>
        <w:rPr>
          <w:rFonts w:ascii="Calibri" w:cs="Calibri" w:eastAsia="Calibri" w:hAnsi="Calibri"/>
          <w:b w:val="false"/>
          <w:bCs w:val="false"/>
          <w:color w:val="1A1A2E"/>
          <w:sz w:val="22"/>
          <w:szCs w:val="22"/>
        </w:rPr>
        <w:t xml:space="preserve">For this institution's primary use case — early warning dropout prediction based on multi-year historical patterns — an ODS is architecturally insufficient. It cannot support the historical depth required for model training. It cannot integrate data at the subject-area level required for cross-domain risk scoring. Its role in this architecture is supplementary: as a real-time operational layer that sits alongside the Lakehouse, feeding the early warning engine with current-day engagement signals while the Lakehouse provides the historical context for risk score computation.</w:t>
      </w:r>
    </w:p>
    <w:p>
      <w:pPr>
        <w:pStyle w:val="Heading2"/>
        <w:spacing w:before="360" w:after="160"/>
      </w:pPr>
      <w:r>
        <w:rPr>
          <w:rFonts w:ascii="Calibri" w:cs="Calibri" w:eastAsia="Calibri" w:hAnsi="Calibri"/>
          <w:b/>
          <w:bCs/>
          <w:color w:val="2E75B6"/>
          <w:sz w:val="28"/>
          <w:szCs w:val="28"/>
        </w:rPr>
        <w:t xml:space="preserve">6.3 Data Mart</w:t>
      </w:r>
    </w:p>
    <w:p>
      <w:pPr>
        <w:spacing w:after="180" w:line="340" w:lineRule="auto"/>
        <w:jc w:val="both"/>
      </w:pPr>
      <w:r>
        <w:rPr>
          <w:rFonts w:ascii="Calibri" w:cs="Calibri" w:eastAsia="Calibri" w:hAnsi="Calibri"/>
          <w:b w:val="false"/>
          <w:bCs w:val="false"/>
          <w:color w:val="1A1A2E"/>
          <w:sz w:val="22"/>
          <w:szCs w:val="22"/>
        </w:rPr>
        <w:t xml:space="preserve">A Data Mart is a subset of an enterprise warehouse, scoped to a single subject area or department. A Finance Data Mart serves the Finance Department's reporting needs. An Academic Performance Data Mart serves the Registrar. Data Marts are faster to deploy than full EDWs and deliver immediate departmental value.</w:t>
      </w:r>
    </w:p>
    <w:p>
      <w:pPr>
        <w:spacing w:after="180" w:line="340" w:lineRule="auto"/>
        <w:jc w:val="both"/>
      </w:pPr>
      <w:r>
        <w:rPr>
          <w:rFonts w:ascii="Calibri" w:cs="Calibri" w:eastAsia="Calibri" w:hAnsi="Calibri"/>
          <w:b w:val="false"/>
          <w:bCs w:val="false"/>
          <w:color w:val="1A1A2E"/>
          <w:sz w:val="22"/>
          <w:szCs w:val="22"/>
        </w:rPr>
        <w:t xml:space="preserve">Their limitation is precisely their narrowness. A Data Mart cannot answer cross-domain questions. It cannot generate a risk score that integrates academic performance, financial status, and LMS engagement — because it has access to only one of those three domains. An institution that deploys five separate Data Marts — one per operational system — will produce five isolated departmental dashboards and be no closer to a retention analytics capability than it is today. Data Mart proliferation without an underlying EDW is 'data mart sprawl': a politically popular, strategically self-defeating path.</w:t>
      </w:r>
    </w:p>
    <w:p>
      <w:pPr>
        <w:spacing w:after="180" w:line="340" w:lineRule="auto"/>
        <w:jc w:val="both"/>
      </w:pPr>
      <w:r>
        <w:rPr>
          <w:rFonts w:ascii="Calibri" w:cs="Calibri" w:eastAsia="Calibri" w:hAnsi="Calibri"/>
          <w:b w:val="false"/>
          <w:bCs w:val="false"/>
          <w:color w:val="1A1A2E"/>
          <w:sz w:val="22"/>
          <w:szCs w:val="22"/>
        </w:rPr>
        <w:t xml:space="preserve">Data Marts have a legitimate role in this architecture: as purpose-built analytical views derived from the Lakehouse, serving specific audience segments (the Faculty Dashboard as a Mart of the academic data domain; the Financial Sustainability Dashboard as a Mart of the finance domain). They are consumption layers, not the central store.</w:t>
      </w:r>
    </w:p>
    <w:p>
      <w:pPr>
        <w:pStyle w:val="Heading2"/>
        <w:spacing w:before="360" w:after="160"/>
      </w:pPr>
      <w:r>
        <w:rPr>
          <w:rFonts w:ascii="Calibri" w:cs="Calibri" w:eastAsia="Calibri" w:hAnsi="Calibri"/>
          <w:b/>
          <w:bCs/>
          <w:color w:val="2E75B6"/>
          <w:sz w:val="28"/>
          <w:szCs w:val="28"/>
        </w:rPr>
        <w:t xml:space="preserve">6.4 Architecture Selection: Enterprise Lakehouse as EDW Evolution</w:t>
      </w:r>
    </w:p>
    <w:p>
      <w:pPr>
        <w:spacing w:after="180" w:line="340" w:lineRule="auto"/>
        <w:jc w:val="both"/>
      </w:pPr>
      <w:r>
        <w:rPr>
          <w:rFonts w:ascii="Calibri" w:cs="Calibri" w:eastAsia="Calibri" w:hAnsi="Calibri"/>
          <w:b w:val="false"/>
          <w:bCs w:val="false"/>
          <w:color w:val="1A1A2E"/>
          <w:sz w:val="22"/>
          <w:szCs w:val="22"/>
        </w:rPr>
        <w:t xml:space="preserve">The recommended primary architecture is an Enterprise Lakehouse — a modern evolution of the EDW that addresses the EDW's limitations with semi-structured data (LMS logs, clickstreams, surveys) while retaining the EDW's governance discipline, historical depth, and cross-domain integration capability. The Lakehouse is not a replacement for the EDW paradigm; it is its architectural maturation in response to the broader data variety demands of modern institutions.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CCCCC" w:sz="1"/>
              <w:left w:val="single" w:color="CCCCCC" w:sz="1"/>
              <w:bottom w:val="single" w:color="CCCCCC" w:sz="1"/>
              <w:right w:val="none" w:color="FFFFFF" w:sz="0"/>
            </w:tcBorders>
            <w:shd w:fill="1E3A5F" w:val="clear"/>
            <w:tcMar>
              <w:top w:type="dxa" w:w="120"/>
              <w:left w:type="dxa" w:w="80"/>
              <w:bottom w:type="dxa" w:w="120"/>
              <w:right w:type="dxa" w:w="80"/>
            </w:tcMar>
            <w:vAlign w:val="center"/>
          </w:tcPr>
          <w:p>
            <w:pPr>
              <w:jc w:val="center"/>
            </w:pPr>
            <w:r>
              <w:rPr>
                <w:rFonts w:ascii="Calibri" w:cs="Calibri" w:eastAsia="Calibri" w:hAnsi="Calibri"/>
                <w:b/>
                <w:bCs/>
                <w:color w:val="FFFFFF"/>
                <w:sz w:val="18"/>
                <w:szCs w:val="18"/>
              </w:rPr>
              <w:t xml:space="preserve">ARCHITECTURE DECISION</w:t>
            </w:r>
          </w:p>
        </w:tc>
        <w:tc>
          <w:tcPr>
            <w:tcW w:type="dxa" w:w="9060"/>
            <w:tcBorders>
              <w:top w:val="single" w:color="CCCCCC" w:sz="1"/>
              <w:left w:val="none" w:color="FFFFFF" w:sz="0"/>
              <w:bottom w:val="single" w:color="CCCCCC" w:sz="1"/>
              <w:right w:val="single" w:color="CCCCCC" w:sz="1"/>
            </w:tcBorders>
            <w:shd w:fill="F5F5F5" w:val="clear"/>
            <w:tcMar>
              <w:top w:type="dxa" w:w="120"/>
              <w:left w:type="dxa" w:w="160"/>
              <w:bottom w:type="dxa" w:w="120"/>
              <w:right w:type="dxa" w:w="160"/>
            </w:tcMar>
          </w:tcPr>
          <w:p>
            <w:r>
              <w:rPr>
                <w:rFonts w:ascii="Calibri" w:cs="Calibri" w:eastAsia="Calibri" w:hAnsi="Calibri"/>
                <w:color w:val="1A1A2E"/>
                <w:sz w:val="21"/>
                <w:szCs w:val="21"/>
              </w:rPr>
              <w:t xml:space="preserve">Primary Architecture: Enterprise Lakehouse (EDW-class governance + Lake-class data variety). Data Marts deployed as governed consumption layers for specific audience segments. ODS deployed as an operational supplement for near-real-time alerting. Full justification in Section 7.</w:t>
            </w:r>
          </w:p>
        </w:tc>
      </w:tr>
    </w:tbl>
    <w:p>
      <w:r>
        <w:br w:type="page"/>
      </w:r>
    </w:p>
    <w:p>
      <w:pPr>
        <w:pStyle w:val="Heading1"/>
        <w:pBdr>
          <w:bottom w:val="thick" w:color="1E3A5F" w:sz="8"/>
        </w:pBdr>
        <w:spacing w:before="480" w:after="200"/>
      </w:pPr>
      <w:r>
        <w:rPr>
          <w:rFonts w:ascii="Calibri" w:cs="Calibri" w:eastAsia="Calibri" w:hAnsi="Calibri"/>
          <w:b/>
          <w:bCs/>
          <w:color w:val="1E3A5F"/>
          <w:sz w:val="34"/>
          <w:szCs w:val="34"/>
        </w:rPr>
        <w:t xml:space="preserve">7. Architecture Decision: Data Warehouse, Data Lake, or Lakehouse</w:t>
      </w:r>
    </w:p>
    <w:p>
      <w:pPr>
        <w:spacing w:after="180" w:line="340" w:lineRule="auto"/>
        <w:jc w:val="both"/>
      </w:pPr>
      <w:r>
        <w:rPr>
          <w:rFonts w:ascii="Calibri" w:cs="Calibri" w:eastAsia="Calibri" w:hAnsi="Calibri"/>
          <w:b w:val="false"/>
          <w:bCs w:val="false"/>
          <w:color w:val="1A1A2E"/>
          <w:sz w:val="22"/>
          <w:szCs w:val="22"/>
        </w:rPr>
        <w:t xml:space="preserve">This section presents the most consequential architectural decision in this document: the choice of the central analytical storage and processing paradigm. The three candidates — traditional data warehouse, data lake, and data lakehouse — differ fundamentally in how they handle data variety, governance, query performance, and machine learning readiness. The wrong choice will either constrain the institution's analytics ambitions (warehouse) or create an ungoverned data environment that undermines trust and regulatory compliance (lake). The correct choice must be justified, not assumed.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Evaluation Criterion</w:t>
            </w:r>
          </w:p>
        </w:tc>
        <w:tc>
          <w:tcPr>
            <w:tcW w:type="dxa" w:w="252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Traditional Data Warehouse</w:t>
            </w:r>
          </w:p>
        </w:tc>
        <w:tc>
          <w:tcPr>
            <w:tcW w:type="dxa" w:w="252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Data Lake</w:t>
            </w:r>
          </w:p>
        </w:tc>
        <w:tc>
          <w:tcPr>
            <w:tcW w:type="dxa" w:w="252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Lakehouse Architecture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Data Structure Support</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Structured only (relational tables)</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Structured + semi-structured + unstructured</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Structured + semi-structured + unstructured</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LMS Clickstream &amp; Logs</w:t>
            </w:r>
          </w:p>
        </w:tc>
        <w:tc>
          <w:tcPr>
            <w:tcW w:type="dxa" w:w="25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Not natively supported; requires pre-transformation</w:t>
            </w:r>
          </w:p>
        </w:tc>
        <w:tc>
          <w:tcPr>
            <w:tcW w:type="dxa" w:w="25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Native — raw logs stored as-is</w:t>
            </w:r>
          </w:p>
        </w:tc>
        <w:tc>
          <w:tcPr>
            <w:tcW w:type="dxa" w:w="25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Native — stored raw, queried with structure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Schema Enforcement</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Schema-on-write (strict, upfront)</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Schema-on-read (flexible, post-hoc)</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Both: enforced on write for governed data, flexible for exploration</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ACID Transactions</w:t>
            </w:r>
          </w:p>
        </w:tc>
        <w:tc>
          <w:tcPr>
            <w:tcW w:type="dxa" w:w="25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Full ACID compliance</w:t>
            </w:r>
          </w:p>
        </w:tc>
        <w:tc>
          <w:tcPr>
            <w:tcW w:type="dxa" w:w="25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None natively (data corruption risk)</w:t>
            </w:r>
          </w:p>
        </w:tc>
        <w:tc>
          <w:tcPr>
            <w:tcW w:type="dxa" w:w="25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Full ACID via Delta Lake / Apache Iceberg</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ML Model Training</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Limited; requires data export to separate environment</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Native — all raw data available</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Native — unified compute on governed data</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Data Governance</w:t>
            </w:r>
          </w:p>
        </w:tc>
        <w:tc>
          <w:tcPr>
            <w:tcW w:type="dxa" w:w="25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Mature and well-understood</w:t>
            </w:r>
          </w:p>
        </w:tc>
        <w:tc>
          <w:tcPr>
            <w:tcW w:type="dxa" w:w="25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Weak — 'data swamp' risk without governance investment</w:t>
            </w:r>
          </w:p>
        </w:tc>
        <w:tc>
          <w:tcPr>
            <w:tcW w:type="dxa" w:w="25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Strong — governance layer built into architecture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Query Performance</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Optimised for structured BI queries</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Slow on ad-hoc queries without optimisation</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BI-speed with columnar indexing and caching</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Cost Profile</w:t>
            </w:r>
          </w:p>
        </w:tc>
        <w:tc>
          <w:tcPr>
            <w:tcW w:type="dxa" w:w="25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Higher storage/compute for large volumes</w:t>
            </w:r>
          </w:p>
        </w:tc>
        <w:tc>
          <w:tcPr>
            <w:tcW w:type="dxa" w:w="25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Very low storage cost (object storage)</w:t>
            </w:r>
          </w:p>
        </w:tc>
        <w:tc>
          <w:tcPr>
            <w:tcW w:type="dxa" w:w="25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Moderate — optimised storage + on-demand compute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Implementation Complexity</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Moderate — well-understood patterns</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High — requires data engineering maturity</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Moderate-High — tooling has matured significantly (2023–2025)</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bCs/>
                <w:color w:val="1A1A2E"/>
                <w:sz w:val="20"/>
                <w:szCs w:val="20"/>
              </w:rPr>
              <w:t xml:space="preserve">Recommended for University?</w:t>
            </w:r>
          </w:p>
        </w:tc>
        <w:tc>
          <w:tcPr>
            <w:tcW w:type="dxa" w:w="25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Suitable for initial phase; limits advanced analytics</w:t>
            </w:r>
          </w:p>
        </w:tc>
        <w:tc>
          <w:tcPr>
            <w:tcW w:type="dxa" w:w="25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Not recommended — governance risk without significant maturity</w:t>
            </w:r>
          </w:p>
        </w:tc>
        <w:tc>
          <w:tcPr>
            <w:tcW w:type="dxa" w:w="25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RECOMMENDED — balances structure, ML readiness, and governance</w:t>
            </w:r>
          </w:p>
        </w:tc>
      </w:tr>
    </w:tbl>
    <w:p>
      <w:pPr>
        <w:spacing w:after="120"/>
      </w:pPr>
      <w:r>
        <w:t xml:space="preserve"/>
      </w:r>
    </w:p>
    <w:p>
      <w:pPr>
        <w:pStyle w:val="Heading2"/>
        <w:spacing w:before="360" w:after="160"/>
      </w:pPr>
      <w:r>
        <w:rPr>
          <w:rFonts w:ascii="Calibri" w:cs="Calibri" w:eastAsia="Calibri" w:hAnsi="Calibri"/>
          <w:b/>
          <w:bCs/>
          <w:color w:val="2E75B6"/>
          <w:sz w:val="28"/>
          <w:szCs w:val="28"/>
        </w:rPr>
        <w:t xml:space="preserve">7.1 The Traditional Data Warehouse — Structured but Constrained</w:t>
      </w:r>
    </w:p>
    <w:p>
      <w:pPr>
        <w:spacing w:after="180" w:line="340" w:lineRule="auto"/>
        <w:jc w:val="both"/>
      </w:pPr>
      <w:r>
        <w:rPr>
          <w:rFonts w:ascii="Calibri" w:cs="Calibri" w:eastAsia="Calibri" w:hAnsi="Calibri"/>
          <w:b w:val="false"/>
          <w:bCs w:val="false"/>
          <w:color w:val="1A1A2E"/>
          <w:sz w:val="22"/>
          <w:szCs w:val="22"/>
        </w:rPr>
        <w:t xml:space="preserve">A traditional relational data warehouse — whether Kimball star-schema or Inmon normalised — is excellent at what it was designed for: fast, governed, consistent reporting on structured transactional data. For the institution's structured data sources (Admissions, Finance, Academic Records), a traditional warehouse is entirely adequate.</w:t>
      </w:r>
    </w:p>
    <w:p>
      <w:pPr>
        <w:spacing w:after="180" w:line="340" w:lineRule="auto"/>
        <w:jc w:val="both"/>
      </w:pPr>
      <w:r>
        <w:rPr>
          <w:rFonts w:ascii="Calibri" w:cs="Calibri" w:eastAsia="Calibri" w:hAnsi="Calibri"/>
          <w:b w:val="false"/>
          <w:bCs w:val="false"/>
          <w:color w:val="1A1A2E"/>
          <w:sz w:val="22"/>
          <w:szCs w:val="22"/>
        </w:rPr>
        <w:t xml:space="preserve">Its limitation emerges precisely at the data variety boundary. LMS clickstream logs — the richest source of early engagement signals — are semi-structured: JSON objects with variable schema, nested session data, and event types that evolve as the LMS platform is updated. Forcing this data into a traditional warehouse requires aggressive pre-transformation that destroys information: nested session data is flattened and detail is lost. Student welfare survey responses are unstructured text; traditional warehouses cannot store or analyse them natively. The early warning model's richest signals — the nuanced engagement patterns that distinguish a struggling student from a disengaged one — reside in precisely the data types that a traditional warehouse handles poorly.</w:t>
      </w:r>
    </w:p>
    <w:p>
      <w:pPr>
        <w:spacing w:after="180" w:line="340" w:lineRule="auto"/>
        <w:jc w:val="both"/>
      </w:pPr>
      <w:r>
        <w:rPr>
          <w:rFonts w:ascii="Calibri" w:cs="Calibri" w:eastAsia="Calibri" w:hAnsi="Calibri"/>
          <w:b w:val="false"/>
          <w:bCs w:val="false"/>
          <w:color w:val="1A1A2E"/>
          <w:sz w:val="22"/>
          <w:szCs w:val="22"/>
        </w:rPr>
        <w:t xml:space="preserve">Conclusion: A traditional warehouse is appropriate for the structured data layer and for the gold-layer analytical views. It is insufficient as the primary architecture for an institution whose most valuable dropout-prediction signals are semi-structured and whose long-term analytics roadmap includes natural language processing on survey data and counselling notes.</w:t>
      </w:r>
    </w:p>
    <w:p>
      <w:pPr>
        <w:pStyle w:val="Heading2"/>
        <w:spacing w:before="360" w:after="160"/>
      </w:pPr>
      <w:r>
        <w:rPr>
          <w:rFonts w:ascii="Calibri" w:cs="Calibri" w:eastAsia="Calibri" w:hAnsi="Calibri"/>
          <w:b/>
          <w:bCs/>
          <w:color w:val="2E75B6"/>
          <w:sz w:val="28"/>
          <w:szCs w:val="28"/>
        </w:rPr>
        <w:t xml:space="preserve">7.2 The Data Lake — Flexible but Ungoverned</w:t>
      </w:r>
    </w:p>
    <w:p>
      <w:pPr>
        <w:spacing w:after="180" w:line="340" w:lineRule="auto"/>
        <w:jc w:val="both"/>
      </w:pPr>
      <w:r>
        <w:rPr>
          <w:rFonts w:ascii="Calibri" w:cs="Calibri" w:eastAsia="Calibri" w:hAnsi="Calibri"/>
          <w:b w:val="false"/>
          <w:bCs w:val="false"/>
          <w:color w:val="1A1A2E"/>
          <w:sz w:val="22"/>
          <w:szCs w:val="22"/>
        </w:rPr>
        <w:t xml:space="preserve">A data lake — raw data stored in object storage (AWS S3, Azure Data Lake Storage) in its native format, with schema applied at query time — resolves the data variety problem elegantly. All five operational systems can land data in the lake without transformation. LMS JSON logs, financial transaction records, admissions PDFs, and counselling text notes coexist in a single storage layer. Data scientists can access any data in its raw form for machine learning experimentation.</w:t>
      </w:r>
    </w:p>
    <w:p>
      <w:pPr>
        <w:spacing w:after="180" w:line="340" w:lineRule="auto"/>
        <w:jc w:val="both"/>
      </w:pPr>
      <w:r>
        <w:rPr>
          <w:rFonts w:ascii="Calibri" w:cs="Calibri" w:eastAsia="Calibri" w:hAnsi="Calibri"/>
          <w:b w:val="false"/>
          <w:bCs w:val="false"/>
          <w:color w:val="1A1A2E"/>
          <w:sz w:val="22"/>
          <w:szCs w:val="22"/>
        </w:rPr>
        <w:t xml:space="preserve">The institutional risk of a data lake, however, is severe and well-documented. Without the schema-on-write discipline of a warehouse, data quality degrades rapidly. Student identifiers accumulate in incompatible formats across ingestion runs. Deleted records persist alongside their replacements. Data lineage becomes untraceable. The result — observed consistently in organisations that deployed data lakes without governance maturity — is a 'data swamp': nominally a single repository, practically an ungoverned accumulation of unreliable data. For an institution at Level 1 analytics maturity, deploying a data lake without the governance infrastructure to manage it is an architectural risk that this strategy is explicitly designed to avoid.</w:t>
      </w:r>
    </w:p>
    <w:p>
      <w:pPr>
        <w:spacing w:after="180" w:line="340" w:lineRule="auto"/>
        <w:jc w:val="both"/>
      </w:pPr>
      <w:r>
        <w:rPr>
          <w:rFonts w:ascii="Calibri" w:cs="Calibri" w:eastAsia="Calibri" w:hAnsi="Calibri"/>
          <w:b w:val="false"/>
          <w:bCs w:val="false"/>
          <w:color w:val="1A1A2E"/>
          <w:sz w:val="22"/>
          <w:szCs w:val="22"/>
        </w:rPr>
        <w:t xml:space="preserve">Conclusion: A data lake as the primary architecture is not recommended for this institution at this stage. Its data variety advantages are compelling, but its governance demands exceed the institution's current maturity. The Lakehouse resolves this tension.</w:t>
      </w:r>
    </w:p>
    <w:p>
      <w:pPr>
        <w:pStyle w:val="Heading2"/>
        <w:spacing w:before="360" w:after="160"/>
      </w:pPr>
      <w:r>
        <w:rPr>
          <w:rFonts w:ascii="Calibri" w:cs="Calibri" w:eastAsia="Calibri" w:hAnsi="Calibri"/>
          <w:b/>
          <w:bCs/>
          <w:color w:val="2E75B6"/>
          <w:sz w:val="28"/>
          <w:szCs w:val="28"/>
        </w:rPr>
        <w:t xml:space="preserve">7.3 The Data Lakehouse — The Recommended Architecture</w:t>
      </w:r>
    </w:p>
    <w:p>
      <w:pPr>
        <w:spacing w:after="180" w:line="340" w:lineRule="auto"/>
        <w:jc w:val="both"/>
      </w:pPr>
      <w:r>
        <w:rPr>
          <w:rFonts w:ascii="Calibri" w:cs="Calibri" w:eastAsia="Calibri" w:hAnsi="Calibri"/>
          <w:b w:val="false"/>
          <w:bCs w:val="false"/>
          <w:color w:val="1A1A2E"/>
          <w:sz w:val="22"/>
          <w:szCs w:val="22"/>
        </w:rPr>
        <w:t xml:space="preserve">The Data Lakehouse is an architectural pattern that combines the data variety and cost efficiency of a data lake with the ACID transactional guarantees, schema enforcement, and governance capabilities of a data warehouse. Implemented via open table formats — Apache Delta Lake (Databricks), Apache Iceberg (widely supported), or Apache Hudi — the Lakehouse stores data in open-format columnar storage (Parquet) on object storage, then applies a transactional metadata layer that enables ACID commits, schema evolution, and time-travel queries.</w:t>
      </w:r>
    </w:p>
    <w:p>
      <w:pPr>
        <w:pStyle w:val="Heading3"/>
        <w:spacing w:before="280" w:after="120"/>
      </w:pPr>
      <w:r>
        <w:rPr>
          <w:rFonts w:ascii="Calibri" w:cs="Calibri" w:eastAsia="Calibri" w:hAnsi="Calibri"/>
          <w:b/>
          <w:bCs/>
          <w:color w:val="0D6E6E"/>
          <w:sz w:val="24"/>
          <w:szCs w:val="24"/>
        </w:rPr>
        <w:t xml:space="preserve">7.3.1 Why the Lakehouse Resolves the Institution's Core Tension</w:t>
      </w:r>
    </w:p>
    <w:p>
      <w:pPr>
        <w:spacing w:after="180" w:line="340" w:lineRule="auto"/>
        <w:jc w:val="both"/>
      </w:pPr>
      <w:r>
        <w:rPr>
          <w:rFonts w:ascii="Calibri" w:cs="Calibri" w:eastAsia="Calibri" w:hAnsi="Calibri"/>
          <w:b w:val="false"/>
          <w:bCs w:val="false"/>
          <w:color w:val="1A1A2E"/>
          <w:sz w:val="22"/>
          <w:szCs w:val="22"/>
        </w:rPr>
        <w:t xml:space="preserve">The institution faces a specific architectural tension: it needs warehouse-class governance and reporting consistency to ensure that risk scores are trusted by executives and faculty; and it needs lake-class data variety to ingest the LMS semi-structured logs, survey text, and clickstream data that contain the richest early warning signals. A traditional warehouse cannot satisfy the second requirement. A data lake cannot satisfy the first. The Lakehouse satisfies both.</w:t>
      </w:r>
    </w:p>
    <w:p>
      <w:pPr>
        <w:spacing w:after="180" w:line="340" w:lineRule="auto"/>
        <w:jc w:val="both"/>
      </w:pPr>
      <w:r>
        <w:rPr>
          <w:rFonts w:ascii="Calibri" w:cs="Calibri" w:eastAsia="Calibri" w:hAnsi="Calibri"/>
          <w:b w:val="false"/>
          <w:bCs w:val="false"/>
          <w:color w:val="1A1A2E"/>
          <w:sz w:val="22"/>
          <w:szCs w:val="22"/>
        </w:rPr>
        <w:t xml:space="preserve">The Lakehouse stores LMS event logs in their native JSON structure in the landing zone, applies a metadata schema layer for governed access, and exposes them through the silver and gold layers as queryable tabular data — without destroying the original structure. It provides ACID transactions that prevent the data corruption risks of a raw data lake. It enables dbt or Spark SQL transformations that run against the same storage layer used by machine learning workloads, eliminating the data duplication required when a warehouse and a separate ML data store are maintained.</w:t>
      </w:r>
    </w:p>
    <w:p>
      <w:pPr>
        <w:pStyle w:val="Heading3"/>
        <w:spacing w:before="280" w:after="120"/>
      </w:pPr>
      <w:r>
        <w:rPr>
          <w:rFonts w:ascii="Calibri" w:cs="Calibri" w:eastAsia="Calibri" w:hAnsi="Calibri"/>
          <w:b/>
          <w:bCs/>
          <w:color w:val="0D6E6E"/>
          <w:sz w:val="24"/>
          <w:szCs w:val="24"/>
        </w:rPr>
        <w:t xml:space="preserve">7.3.2 Scalability Justification</w:t>
      </w:r>
    </w:p>
    <w:p>
      <w:pPr>
        <w:spacing w:after="180" w:line="340" w:lineRule="auto"/>
        <w:jc w:val="both"/>
      </w:pPr>
      <w:r>
        <w:rPr>
          <w:rFonts w:ascii="Calibri" w:cs="Calibri" w:eastAsia="Calibri" w:hAnsi="Calibri"/>
          <w:b w:val="false"/>
          <w:bCs w:val="false"/>
          <w:color w:val="1A1A2E"/>
          <w:sz w:val="22"/>
          <w:szCs w:val="22"/>
        </w:rPr>
        <w:t xml:space="preserve">Object storage (S3 or Azure ADLS) — the storage layer of the Lakehouse — scales to petabyte volumes at a fraction of the cost of traditional warehouse storage. As the institution grows its student population, adds new data sources (IoT campus access systems, learning analytics platforms, student app telemetry), and accumulates decade-long historical cohort data for ML training, the Lakehouse scales without architectural redesign. A traditional warehouse would require expensive capacity planning and schema migrations. The Lakehouse expands by adding storage capacity and compute clusters — both independently, both elastically.</w:t>
      </w:r>
    </w:p>
    <w:p>
      <w:pPr>
        <w:pStyle w:val="Heading3"/>
        <w:spacing w:before="280" w:after="120"/>
      </w:pPr>
      <w:r>
        <w:rPr>
          <w:rFonts w:ascii="Calibri" w:cs="Calibri" w:eastAsia="Calibri" w:hAnsi="Calibri"/>
          <w:b/>
          <w:bCs/>
          <w:color w:val="0D6E6E"/>
          <w:sz w:val="24"/>
          <w:szCs w:val="24"/>
        </w:rPr>
        <w:t xml:space="preserve">7.3.3 Machine Learning Readiness</w:t>
      </w:r>
    </w:p>
    <w:p>
      <w:pPr>
        <w:spacing w:after="180" w:line="340" w:lineRule="auto"/>
        <w:jc w:val="both"/>
      </w:pPr>
      <w:r>
        <w:rPr>
          <w:rFonts w:ascii="Calibri" w:cs="Calibri" w:eastAsia="Calibri" w:hAnsi="Calibri"/>
          <w:b w:val="false"/>
          <w:bCs w:val="false"/>
          <w:color w:val="1A1A2E"/>
          <w:sz w:val="22"/>
          <w:szCs w:val="22"/>
        </w:rPr>
        <w:t xml:space="preserve">The dropout prediction model that is this strategy's primary analytical deliverable requires multi-year historical cohort data for training, semi-structured LMS engagement data for feature engineering, and a compute environment that supports iterative model development with fast feedback cycles. The Lakehouse natively supports all three requirements. Apache Spark (the compute engine underlying Databricks and similar platforms) runs directly against Lakehouse storage, eliminating data movement between a warehouse and a separate ML platform. Model training, feature engineering, and inference scoring all operate within a single governed environment.</w:t>
      </w:r>
    </w:p>
    <w:p>
      <w:pPr>
        <w:pStyle w:val="Heading3"/>
        <w:spacing w:before="280" w:after="120"/>
      </w:pPr>
      <w:r>
        <w:rPr>
          <w:rFonts w:ascii="Calibri" w:cs="Calibri" w:eastAsia="Calibri" w:hAnsi="Calibri"/>
          <w:b/>
          <w:bCs/>
          <w:color w:val="0D6E6E"/>
          <w:sz w:val="24"/>
          <w:szCs w:val="24"/>
        </w:rPr>
        <w:t xml:space="preserve">7.3.4 Governance and Compliance</w:t>
      </w:r>
    </w:p>
    <w:p>
      <w:pPr>
        <w:spacing w:after="180" w:line="340" w:lineRule="auto"/>
        <w:jc w:val="both"/>
      </w:pPr>
      <w:r>
        <w:rPr>
          <w:rFonts w:ascii="Calibri" w:cs="Calibri" w:eastAsia="Calibri" w:hAnsi="Calibri"/>
          <w:b w:val="false"/>
          <w:bCs w:val="false"/>
          <w:color w:val="1A1A2E"/>
          <w:sz w:val="22"/>
          <w:szCs w:val="22"/>
        </w:rPr>
        <w:t xml:space="preserve">ACID transaction support means that a data correction — for example, the deletion of a student's records following a GDPR/data protection request — is guaranteed to be complete and consistent across the entire Lakehouse. In a raw data lake, such a deletion is operationally complex and may be incomplete. Delta Lake's time-travel capability provides an immutable audit log of all data changes, satisfying both governance audit requirements and regulatory compliance obligations. Schema evolution is managed and documented in the metadata layer, ensuring that changes to source system schemas (a common occurrence during ERP upgrades) are handled gracefully without breaking downstream analytics.</w:t>
      </w:r>
    </w:p>
    <w:p>
      <w:pPr>
        <w:pStyle w:val="Heading2"/>
        <w:spacing w:before="360" w:after="160"/>
      </w:pPr>
      <w:r>
        <w:rPr>
          <w:rFonts w:ascii="Calibri" w:cs="Calibri" w:eastAsia="Calibri" w:hAnsi="Calibri"/>
          <w:b/>
          <w:bCs/>
          <w:color w:val="2E75B6"/>
          <w:sz w:val="28"/>
          <w:szCs w:val="28"/>
        </w:rPr>
        <w:t xml:space="preserve">7.4 Final Architecture Decision and Justification</w:t>
      </w:r>
    </w:p>
    <w:p>
      <w:pPr>
        <w:spacing w:after="180" w:line="340" w:lineRule="auto"/>
        <w:jc w:val="both"/>
      </w:pPr>
      <w:r>
        <w:rPr>
          <w:rFonts w:ascii="Calibri" w:cs="Calibri" w:eastAsia="Calibri" w:hAnsi="Calibri"/>
          <w:b w:val="false"/>
          <w:bCs w:val="false"/>
          <w:color w:val="1A1A2E"/>
          <w:sz w:val="22"/>
          <w:szCs w:val="22"/>
        </w:rPr>
        <w:t xml:space="preserve">The selected architecture is an Enterprise Data Lakehouse, implemented on Delta Lake (Apache open-source) with cloud deployment on either Databricks (if ML workloads are the primary driver) or Microsoft Fabric / Snowflake with Iceberg tables (if BI reporting is the primary driver in the initial phase, with ML capability added in Phase 3).</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CCCCC" w:sz="1"/>
              <w:left w:val="single" w:color="CCCCCC" w:sz="1"/>
              <w:bottom w:val="single" w:color="CCCCCC" w:sz="1"/>
              <w:right w:val="none" w:color="FFFFFF" w:sz="0"/>
            </w:tcBorders>
            <w:shd w:fill="1E3A5F" w:val="clear"/>
            <w:tcMar>
              <w:top w:type="dxa" w:w="120"/>
              <w:left w:type="dxa" w:w="80"/>
              <w:bottom w:type="dxa" w:w="120"/>
              <w:right w:type="dxa" w:w="80"/>
            </w:tcMar>
            <w:vAlign w:val="center"/>
          </w:tcPr>
          <w:p>
            <w:pPr>
              <w:jc w:val="center"/>
            </w:pPr>
            <w:r>
              <w:rPr>
                <w:rFonts w:ascii="Calibri" w:cs="Calibri" w:eastAsia="Calibri" w:hAnsi="Calibri"/>
                <w:b/>
                <w:bCs/>
                <w:color w:val="FFFFFF"/>
                <w:sz w:val="18"/>
                <w:szCs w:val="18"/>
              </w:rPr>
              <w:t xml:space="preserve">FINAL ARCHITECTURE DECISION</w:t>
            </w:r>
          </w:p>
        </w:tc>
        <w:tc>
          <w:tcPr>
            <w:tcW w:type="dxa" w:w="9060"/>
            <w:tcBorders>
              <w:top w:val="single" w:color="CCCCCC" w:sz="1"/>
              <w:left w:val="none" w:color="FFFFFF" w:sz="0"/>
              <w:bottom w:val="single" w:color="CCCCCC" w:sz="1"/>
              <w:right w:val="single" w:color="CCCCCC" w:sz="1"/>
            </w:tcBorders>
            <w:shd w:fill="F5F5F5" w:val="clear"/>
            <w:tcMar>
              <w:top w:type="dxa" w:w="120"/>
              <w:left w:type="dxa" w:w="160"/>
              <w:bottom w:type="dxa" w:w="120"/>
              <w:right w:type="dxa" w:w="160"/>
            </w:tcMar>
          </w:tcPr>
          <w:p>
            <w:r>
              <w:rPr>
                <w:rFonts w:ascii="Calibri" w:cs="Calibri" w:eastAsia="Calibri" w:hAnsi="Calibri"/>
                <w:color w:val="1A1A2E"/>
                <w:sz w:val="21"/>
                <w:szCs w:val="21"/>
              </w:rPr>
              <w:t xml:space="preserve">Enterprise Data Lakehouse — implemented in three layers (raw landing zone, curated silver layer, analytics-ready gold layer) on open-format columnar storage with ACID transaction guarantees. Justification: structured governance for executive trust; semi-structured data support for ML feature richness; elastic scalability for institutional growth; ACID compliance for regulatory data rights. This is the only architecture that simultaneously satisfies the governance requirements of a regulated educational institution and the data variety and ML requirements of a modern dropout-prediction capability.</w:t>
            </w:r>
          </w:p>
        </w:tc>
      </w:tr>
    </w:tbl>
    <w:p>
      <w:pPr>
        <w:spacing w:after="120"/>
      </w:pPr>
      <w:r>
        <w:t xml:space="preserve"/>
      </w:r>
    </w:p>
    <w:p>
      <w:pPr>
        <w:spacing w:after="180" w:line="340" w:lineRule="auto"/>
        <w:jc w:val="both"/>
      </w:pPr>
      <w:r>
        <w:rPr>
          <w:rFonts w:ascii="Calibri" w:cs="Calibri" w:eastAsia="Calibri" w:hAnsi="Calibri"/>
          <w:b w:val="false"/>
          <w:bCs w:val="false"/>
          <w:color w:val="1A1A2E"/>
          <w:sz w:val="22"/>
          <w:szCs w:val="22"/>
        </w:rPr>
        <w:t xml:space="preserve">The institution should not attempt to build the full Lakehouse in Phase 1. Phase 1 establishes the foundation (data audit, KPI standardisation, a basic warehouse for structured sources). Phase 2 builds the full Lakehouse architecture with ETL/ELT pipelines for all five source systems. Phase 3 activates the ML sandbox, trains and deploys the dropout prediction model, and operationalises the early warning engine. The architecture is the same throughout — the phasing is a sequencing of capability activation, not an architectural pivot.</w:t>
      </w:r>
    </w:p>
    <w:p>
      <w:r>
        <w:br w:type="page"/>
      </w:r>
    </w:p>
    <w:p>
      <w:pPr>
        <w:pStyle w:val="Heading1"/>
        <w:pBdr>
          <w:bottom w:val="thick" w:color="1E3A5F" w:sz="8"/>
        </w:pBdr>
        <w:spacing w:before="480" w:after="200"/>
      </w:pPr>
      <w:r>
        <w:rPr>
          <w:rFonts w:ascii="Calibri" w:cs="Calibri" w:eastAsia="Calibri" w:hAnsi="Calibri"/>
          <w:b/>
          <w:bCs/>
          <w:color w:val="1E3A5F"/>
          <w:sz w:val="34"/>
          <w:szCs w:val="34"/>
        </w:rPr>
        <w:t xml:space="preserve">8. Data Collection, Ingestion, and Quality Management</w:t>
      </w:r>
    </w:p>
    <w:p>
      <w:pPr>
        <w:pStyle w:val="Heading2"/>
        <w:spacing w:before="360" w:after="160"/>
      </w:pPr>
      <w:r>
        <w:rPr>
          <w:rFonts w:ascii="Calibri" w:cs="Calibri" w:eastAsia="Calibri" w:hAnsi="Calibri"/>
          <w:b/>
          <w:bCs/>
          <w:color w:val="2E75B6"/>
          <w:sz w:val="28"/>
          <w:szCs w:val="28"/>
        </w:rPr>
        <w:t xml:space="preserve">8.1 Data Source Inventory and Ingestion Strategy</w:t>
      </w:r>
    </w:p>
    <w:p>
      <w:pPr>
        <w:spacing w:after="180" w:line="340" w:lineRule="auto"/>
        <w:jc w:val="both"/>
      </w:pPr>
      <w:r>
        <w:rPr>
          <w:rFonts w:ascii="Calibri" w:cs="Calibri" w:eastAsia="Calibri" w:hAnsi="Calibri"/>
          <w:b w:val="false"/>
          <w:bCs w:val="false"/>
          <w:color w:val="1A1A2E"/>
          <w:sz w:val="22"/>
          <w:szCs w:val="22"/>
        </w:rPr>
        <w:t xml:space="preserve">The institution's data collection strategy distinguishes between four source categories, each requiring a different ingestion approach calibrated to its frequency, structure, and retention analytics relevance.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800"/>
        <w:gridCol w:w="1800"/>
        <w:gridCol w:w="1860"/>
      </w:tblGrid>
      <w:tr>
        <w:tc>
          <w:tcPr>
            <w:tcW w:type="dxa" w:w="210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Source System</w:t>
            </w:r>
          </w:p>
        </w:tc>
        <w:tc>
          <w:tcPr>
            <w:tcW w:type="dxa" w:w="180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Data Type</w:t>
            </w:r>
          </w:p>
        </w:tc>
        <w:tc>
          <w:tcPr>
            <w:tcW w:type="dxa" w:w="180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Ingestion Method</w:t>
            </w:r>
          </w:p>
        </w:tc>
        <w:tc>
          <w:tcPr>
            <w:tcW w:type="dxa" w:w="180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Frequency</w:t>
            </w:r>
          </w:p>
        </w:tc>
        <w:tc>
          <w:tcPr>
            <w:tcW w:type="dxa" w:w="186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Retention Relevance</w:t>
            </w:r>
          </w:p>
        </w:tc>
      </w:tr>
      <w:tr>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Admissions System</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Structured (relational)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ETL batch via JDBC</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Daily</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High — entry qualification predictors</w:t>
            </w:r>
          </w:p>
        </w:tc>
      </w:tr>
      <w:tr>
        <w:tc>
          <w:tcPr>
            <w:tcW w:type="dxa" w:w="21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LMS (Moodle/Canvas)</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Semi-structured (JSON events)</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API streaming + ELT</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Near-real-time</w:t>
            </w:r>
          </w:p>
        </w:tc>
        <w:tc>
          <w:tcPr>
            <w:tcW w:type="dxa" w:w="18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Critical — engagement signals</w:t>
            </w:r>
          </w:p>
        </w:tc>
      </w:tr>
      <w:tr>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Student Finance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Structured (relational)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ETL batch via DB replication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Daily</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High — financial stress indicator</w:t>
            </w:r>
          </w:p>
        </w:tc>
      </w:tr>
      <w:tr>
        <w:tc>
          <w:tcPr>
            <w:tcW w:type="dxa" w:w="21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Academic Records</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Structured (relational)</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ETL batch (semester-boundary)</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Weekly + event-driven</w:t>
            </w:r>
          </w:p>
        </w:tc>
        <w:tc>
          <w:tcPr>
            <w:tcW w:type="dxa" w:w="18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Critical — academic performance trajectory</w:t>
            </w:r>
          </w:p>
        </w:tc>
      </w:tr>
      <w:tr>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Student Affairs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Mixed (structured + unstructured text)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API + manual digital upload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Weekly</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Moderate-High — social risk factors</w:t>
            </w:r>
          </w:p>
        </w:tc>
      </w:tr>
      <w:tr>
        <w:tc>
          <w:tcPr>
            <w:tcW w:type="dxa" w:w="21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External: National benchmarks</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Structured (CSV/API)</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API batch</w:t>
            </w:r>
          </w:p>
        </w:tc>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Annual</w:t>
            </w:r>
          </w:p>
        </w:tc>
        <w:tc>
          <w:tcPr>
            <w:tcW w:type="dxa" w:w="18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Low — contextual enrichment</w:t>
            </w:r>
          </w:p>
        </w:tc>
      </w:tr>
      <w:tr>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External: Student satisfaction surveys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Semi-structured (survey JSON)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API or bulk upload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Bi-annual</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Moderate — attitudinal signals</w:t>
            </w:r>
          </w:p>
        </w:tc>
      </w:tr>
    </w:tbl>
    <w:p>
      <w:pPr>
        <w:spacing w:after="120"/>
      </w:pPr>
      <w:r>
        <w:t xml:space="preserve"/>
      </w:r>
    </w:p>
    <w:p>
      <w:pPr>
        <w:pStyle w:val="Heading2"/>
        <w:spacing w:before="360" w:after="160"/>
      </w:pPr>
      <w:r>
        <w:rPr>
          <w:rFonts w:ascii="Calibri" w:cs="Calibri" w:eastAsia="Calibri" w:hAnsi="Calibri"/>
          <w:b/>
          <w:bCs/>
          <w:color w:val="2E75B6"/>
          <w:sz w:val="28"/>
          <w:szCs w:val="28"/>
        </w:rPr>
        <w:t xml:space="preserve">8.2 Data Quality Framework</w:t>
      </w:r>
    </w:p>
    <w:p>
      <w:pPr>
        <w:spacing w:after="180" w:line="340" w:lineRule="auto"/>
        <w:jc w:val="both"/>
      </w:pPr>
      <w:r>
        <w:rPr>
          <w:rFonts w:ascii="Calibri" w:cs="Calibri" w:eastAsia="Calibri" w:hAnsi="Calibri"/>
          <w:b w:val="false"/>
          <w:bCs w:val="false"/>
          <w:color w:val="1A1A2E"/>
          <w:sz w:val="22"/>
          <w:szCs w:val="22"/>
        </w:rPr>
        <w:t xml:space="preserve">Data quality is not a post-hoc remediation task — it is a design principle embedded at every stage of the ingestion pipeline. The Lakehouse architecture enforces quality gates at the transition between layers: raw data enters the landing zone without quality filtering (preserving fidelity); the silver layer applies quality rules (completeness checks, referential integrity validation, schema conformance); the gold layer delivers only data that passes quality thresholds to analytical consumers.</w:t>
      </w:r>
    </w:p>
    <w:p>
      <w:pPr>
        <w:spacing w:after="180" w:line="340" w:lineRule="auto"/>
        <w:jc w:val="both"/>
      </w:pPr>
      <w:r>
        <w:rPr>
          <w:rFonts w:ascii="Calibri" w:cs="Calibri" w:eastAsia="Calibri" w:hAnsi="Calibri"/>
          <w:b w:val="false"/>
          <w:bCs w:val="false"/>
          <w:color w:val="1A1A2E"/>
          <w:sz w:val="22"/>
          <w:szCs w:val="22"/>
        </w:rPr>
        <w:t xml:space="preserve">The three primary quality dimensions tracked for each source are completeness (what percentage of expected records and fields are present in each ingestion run), accuracy (what percentage of records pass cross-system referential integrity checks — does every student ID in the LMS have a corresponding record in Academic Records?), and timeliness (is the data arriving within the expected latency window?). These three dimensions feed the data quality index KPI, with a target of 88% or higher by the end of Phase 3.</w:t>
      </w:r>
    </w:p>
    <w:p>
      <w:pPr>
        <w:pStyle w:val="Heading2"/>
        <w:spacing w:before="360" w:after="160"/>
      </w:pPr>
      <w:r>
        <w:rPr>
          <w:rFonts w:ascii="Calibri" w:cs="Calibri" w:eastAsia="Calibri" w:hAnsi="Calibri"/>
          <w:b/>
          <w:bCs/>
          <w:color w:val="2E75B6"/>
          <w:sz w:val="28"/>
          <w:szCs w:val="28"/>
        </w:rPr>
        <w:t xml:space="preserve">8.3 Data Cleansing and Transformation</w:t>
      </w:r>
    </w:p>
    <w:p>
      <w:pPr>
        <w:spacing w:after="180" w:line="340" w:lineRule="auto"/>
        <w:jc w:val="both"/>
      </w:pPr>
      <w:r>
        <w:rPr>
          <w:rFonts w:ascii="Calibri" w:cs="Calibri" w:eastAsia="Calibri" w:hAnsi="Calibri"/>
          <w:b w:val="false"/>
          <w:bCs w:val="false"/>
          <w:color w:val="1A1A2E"/>
          <w:sz w:val="22"/>
          <w:szCs w:val="22"/>
        </w:rPr>
        <w:t xml:space="preserve">Cleansing operations are executed in the ELT transformation layer (dbt) against the silver layer. Duplicate student records — common at institutions that have undergone system migrations or that accept applicants under multiple ID formats — are resolved using a deterministic matching algorithm (name + date-of-birth + programme + intake year) before a stable pseudonymous institutional identifier is assigned. Missing values in high-relevance fields (GPA, fee balance, LMS login count) are flagged with a missingness indicator rather than imputed at this stage; imputation strategy is a model-level decision made in the analytics sandbox.</w:t>
      </w:r>
    </w:p>
    <w:p>
      <w:pPr>
        <w:spacing w:after="180" w:line="340" w:lineRule="auto"/>
        <w:jc w:val="both"/>
      </w:pPr>
      <w:r>
        <w:rPr>
          <w:rFonts w:ascii="Calibri" w:cs="Calibri" w:eastAsia="Calibri" w:hAnsi="Calibri"/>
          <w:b w:val="false"/>
          <w:bCs w:val="false"/>
          <w:color w:val="1A1A2E"/>
          <w:sz w:val="22"/>
          <w:szCs w:val="22"/>
        </w:rPr>
        <w:t xml:space="preserve">Transformation enriches the cleaned data with derived features: a weekly LMS engagement score (composite of login frequency, assignment submission rate, and forum participation, normalised by course average); an academic trajectory index (current GPA relative to prior semester GPA, weighted by course difficulty); and a financial stress flag (fee balance outstanding beyond the institutional threshold date, binary). These derived features are computed in the gold layer and stored as materialised views for performance, refreshed with each batch ingestion cycle.</w:t>
      </w:r>
    </w:p>
    <w:p>
      <w:r>
        <w:br w:type="page"/>
      </w:r>
    </w:p>
    <w:p>
      <w:pPr>
        <w:pStyle w:val="Heading1"/>
        <w:pBdr>
          <w:bottom w:val="thick" w:color="1E3A5F" w:sz="8"/>
        </w:pBdr>
        <w:spacing w:before="480" w:after="200"/>
      </w:pPr>
      <w:r>
        <w:rPr>
          <w:rFonts w:ascii="Calibri" w:cs="Calibri" w:eastAsia="Calibri" w:hAnsi="Calibri"/>
          <w:b/>
          <w:bCs/>
          <w:color w:val="1E3A5F"/>
          <w:sz w:val="34"/>
          <w:szCs w:val="34"/>
        </w:rPr>
        <w:t xml:space="preserve">9. Data Governance, Privacy, and Ethical Analytics</w:t>
      </w:r>
    </w:p>
    <w:p>
      <w:pPr>
        <w:pStyle w:val="Heading2"/>
        <w:spacing w:before="360" w:after="160"/>
      </w:pPr>
      <w:r>
        <w:rPr>
          <w:rFonts w:ascii="Calibri" w:cs="Calibri" w:eastAsia="Calibri" w:hAnsi="Calibri"/>
          <w:b/>
          <w:bCs/>
          <w:color w:val="2E75B6"/>
          <w:sz w:val="28"/>
          <w:szCs w:val="28"/>
        </w:rPr>
        <w:t xml:space="preserve">9.1 Governance Structure — Federated with Central Oversight</w:t>
      </w:r>
    </w:p>
    <w:p>
      <w:pPr>
        <w:spacing w:after="180" w:line="340" w:lineRule="auto"/>
        <w:jc w:val="both"/>
      </w:pPr>
      <w:r>
        <w:rPr>
          <w:rFonts w:ascii="Calibri" w:cs="Calibri" w:eastAsia="Calibri" w:hAnsi="Calibri"/>
          <w:b w:val="false"/>
          <w:bCs w:val="false"/>
          <w:color w:val="1A1A2E"/>
          <w:sz w:val="22"/>
          <w:szCs w:val="22"/>
        </w:rPr>
        <w:t xml:space="preserve">The governance model is federated: each data-owning department retains stewardship of its operational data and accountable for its quality, while a central Data Governance Committee (DGC) sets institution-wide standards, resolves cross-departmental data conflicts, and approves changes to the business glossary and data access policies. The DGC is chaired by the Provost or Deputy Vice-Chancellor and includes the Registrar, Chief Financial Officer, Head of IT, Director of Student Affairs, and a Faculty Representative.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Data Domain</w:t>
            </w:r>
          </w:p>
        </w:tc>
        <w:tc>
          <w:tcPr>
            <w:tcW w:type="dxa" w:w="220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Data Owner</w:t>
            </w:r>
          </w:p>
        </w:tc>
        <w:tc>
          <w:tcPr>
            <w:tcW w:type="dxa" w:w="220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Data Steward</w:t>
            </w:r>
          </w:p>
        </w:tc>
        <w:tc>
          <w:tcPr>
            <w:tcW w:type="dxa" w:w="256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Governance Responsibility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Academic Records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Registrar's Office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Senior Registrar Officer</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Grade accuracy, enrolment integrity, GPA validation</w:t>
            </w:r>
          </w:p>
        </w:tc>
      </w:tr>
      <w:tr>
        <w:tc>
          <w:tcPr>
            <w:tcW w:type="dxa" w:w="24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Student Finance</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Chief Financial Officer</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Finance Systems Manager</w:t>
            </w:r>
          </w:p>
        </w:tc>
        <w:tc>
          <w:tcPr>
            <w:tcW w:type="dxa" w:w="2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Fee record accuracy, financial aid disbursement, balance integrity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LMS / Engagement Data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IT Directorate / CIO</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LMS Administrator</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Event log completeness, API uptime, schema change notifications</w:t>
            </w:r>
          </w:p>
        </w:tc>
      </w:tr>
      <w:tr>
        <w:tc>
          <w:tcPr>
            <w:tcW w:type="dxa" w:w="24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Student Affairs</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Director of Student Affairs</w:t>
            </w:r>
          </w:p>
        </w:tc>
        <w:tc>
          <w:tcPr>
            <w:tcW w:type="dxa" w:w="22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Student Welfare Coordinator</w:t>
            </w:r>
          </w:p>
        </w:tc>
        <w:tc>
          <w:tcPr>
            <w:tcW w:type="dxa" w:w="2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Counselling record sensitivity, welfare data access restrictions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Admissions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Registrar's Office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Admissions Manager</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Applicant data accuracy, enrolment confirmation integrity</w:t>
            </w:r>
          </w:p>
        </w:tc>
      </w:tr>
    </w:tbl>
    <w:p>
      <w:pPr>
        <w:spacing w:after="120"/>
      </w:pPr>
      <w:r>
        <w:t xml:space="preserve"/>
      </w:r>
    </w:p>
    <w:p>
      <w:pPr>
        <w:pStyle w:val="Heading2"/>
        <w:spacing w:before="360" w:after="160"/>
      </w:pPr>
      <w:r>
        <w:rPr>
          <w:rFonts w:ascii="Calibri" w:cs="Calibri" w:eastAsia="Calibri" w:hAnsi="Calibri"/>
          <w:b/>
          <w:bCs/>
          <w:color w:val="2E75B6"/>
          <w:sz w:val="28"/>
          <w:szCs w:val="28"/>
        </w:rPr>
        <w:t xml:space="preserve">9.2 Privacy Compliance and Data Protection</w:t>
      </w:r>
    </w:p>
    <w:p>
      <w:pPr>
        <w:spacing w:after="180" w:line="340" w:lineRule="auto"/>
        <w:jc w:val="both"/>
      </w:pPr>
      <w:r>
        <w:rPr>
          <w:rFonts w:ascii="Calibri" w:cs="Calibri" w:eastAsia="Calibri" w:hAnsi="Calibri"/>
          <w:b w:val="false"/>
          <w:bCs w:val="false"/>
          <w:color w:val="1A1A2E"/>
          <w:sz w:val="22"/>
          <w:szCs w:val="22"/>
        </w:rPr>
        <w:t xml:space="preserve">Student data is among the most sensitive categories of personal data an institution holds. The Lakehouse architecture must be designed and operated in full compliance with applicable data protection legislation — whether the GDPR (European institutions), FERPA (US institutions), Ghana's Data Protection Act 2012, or equivalent national frameworks. The following privacy controls are mandatory, not optional, in the Lakehouse implementation:</w:t>
      </w:r>
    </w:p>
    <w:p>
      <w:pPr>
        <w:pStyle w:val="ListParagraph"/>
        <w:numPr>
          <w:ilvl w:val="0"/>
          <w:numId w:val="3"/>
        </w:numPr>
        <w:spacing w:after="100" w:line="320" w:lineRule="auto"/>
      </w:pPr>
      <w:r>
        <w:rPr>
          <w:rFonts w:ascii="Calibri" w:cs="Calibri" w:eastAsia="Calibri" w:hAnsi="Calibri"/>
          <w:color w:val="1A1A2E"/>
          <w:sz w:val="22"/>
          <w:szCs w:val="22"/>
        </w:rPr>
        <w:t xml:space="preserve">Pseudonymisation at the point of ingestion: student identifiers are replaced with pseudonymous keys in the silver and gold layers. The mapping table (pseudonymous key to real identifier) is held separately under restricted access and is required only for re-identification in the context of direct student intervention.</w:t>
      </w:r>
    </w:p>
    <w:p>
      <w:pPr>
        <w:pStyle w:val="ListParagraph"/>
        <w:numPr>
          <w:ilvl w:val="0"/>
          <w:numId w:val="3"/>
        </w:numPr>
        <w:spacing w:after="100" w:line="320" w:lineRule="auto"/>
      </w:pPr>
      <w:r>
        <w:rPr>
          <w:rFonts w:ascii="Calibri" w:cs="Calibri" w:eastAsia="Calibri" w:hAnsi="Calibri"/>
          <w:color w:val="1A1A2E"/>
          <w:sz w:val="22"/>
          <w:szCs w:val="22"/>
        </w:rPr>
        <w:t xml:space="preserve">Purpose limitation enforcement: data collected for retention analytics may not be repurposed for admissions marketing, programme performance ranking, or staff performance assessment without explicit DGC approval and, where required by law, updated student consent.</w:t>
      </w:r>
    </w:p>
    <w:p>
      <w:pPr>
        <w:pStyle w:val="ListParagraph"/>
        <w:numPr>
          <w:ilvl w:val="0"/>
          <w:numId w:val="3"/>
        </w:numPr>
        <w:spacing w:after="100" w:line="320" w:lineRule="auto"/>
      </w:pPr>
      <w:r>
        <w:rPr>
          <w:rFonts w:ascii="Calibri" w:cs="Calibri" w:eastAsia="Calibri" w:hAnsi="Calibri"/>
          <w:color w:val="1A1A2E"/>
          <w:sz w:val="22"/>
          <w:szCs w:val="22"/>
        </w:rPr>
        <w:t xml:space="preserve">Right to erasure: Delta Lake's time-travel and ACID transaction capabilities enable compliant record deletion. A student's data deletion request is actioned at the silver layer; the deletion propagates to the gold layer via the next transformation run, and is logged in the metadata system for audit purposes.</w:t>
      </w:r>
    </w:p>
    <w:p>
      <w:pPr>
        <w:pStyle w:val="ListParagraph"/>
        <w:numPr>
          <w:ilvl w:val="0"/>
          <w:numId w:val="3"/>
        </w:numPr>
        <w:spacing w:after="100" w:line="320" w:lineRule="auto"/>
      </w:pPr>
      <w:r>
        <w:rPr>
          <w:rFonts w:ascii="Calibri" w:cs="Calibri" w:eastAsia="Calibri" w:hAnsi="Calibri"/>
          <w:color w:val="1A1A2E"/>
          <w:sz w:val="22"/>
          <w:szCs w:val="22"/>
        </w:rPr>
        <w:t xml:space="preserve">Data minimisation: the gold layer presents only the data fields required for each analytical use case. The faculty advisor portal does not expose raw counselling notes — it exposes an aggregated welfare risk flag. The executive dashboard does not expose individual student records — it exposes cohort-level KPIs.</w:t>
      </w:r>
    </w:p>
    <w:p>
      <w:pPr>
        <w:pStyle w:val="Heading2"/>
        <w:spacing w:before="360" w:after="160"/>
      </w:pPr>
      <w:r>
        <w:rPr>
          <w:rFonts w:ascii="Calibri" w:cs="Calibri" w:eastAsia="Calibri" w:hAnsi="Calibri"/>
          <w:b/>
          <w:bCs/>
          <w:color w:val="2E75B6"/>
          <w:sz w:val="28"/>
          <w:szCs w:val="28"/>
        </w:rPr>
        <w:t xml:space="preserve">9.3 Ethical Use of Predictive Analytics</w:t>
      </w:r>
    </w:p>
    <w:p>
      <w:pPr>
        <w:spacing w:after="180" w:line="340" w:lineRule="auto"/>
        <w:jc w:val="both"/>
      </w:pPr>
      <w:r>
        <w:rPr>
          <w:rFonts w:ascii="Calibri" w:cs="Calibri" w:eastAsia="Calibri" w:hAnsi="Calibri"/>
          <w:b w:val="false"/>
          <w:bCs w:val="false"/>
          <w:color w:val="1A1A2E"/>
          <w:sz w:val="22"/>
          <w:szCs w:val="22"/>
        </w:rPr>
        <w:t xml:space="preserve">The dropout prediction model is a consequential algorithmic system: its outputs influence which students receive proactive support, and the quality and timeliness of that support may determine whether those students remain enrolled. The ethical obligations of the institution are proportionate to those consequences.</w:t>
      </w:r>
    </w:p>
    <w:p>
      <w:pPr>
        <w:spacing w:after="180" w:line="340" w:lineRule="auto"/>
        <w:jc w:val="both"/>
      </w:pPr>
      <w:r>
        <w:rPr>
          <w:rFonts w:ascii="Calibri" w:cs="Calibri" w:eastAsia="Calibri" w:hAnsi="Calibri"/>
          <w:b w:val="false"/>
          <w:bCs w:val="false"/>
          <w:color w:val="1A1A2E"/>
          <w:sz w:val="22"/>
          <w:szCs w:val="22"/>
        </w:rPr>
        <w:t xml:space="preserve">The strategy commits to three non-negotiable ethical principles. First, the model must not embed or amplify demographic bias. Before deployment, the model is subjected to a fairness audit that tests for statistically significant differences in false-positive and false-negative rates across demographic groups (gender, ethnicity, socioeconomic background, disability status, first-generation student status). A model that systematically over-flags one demographic group or under-flags another is not deployed, regardless of its aggregate accuracy.</w:t>
      </w:r>
    </w:p>
    <w:p>
      <w:pPr>
        <w:spacing w:after="180" w:line="340" w:lineRule="auto"/>
        <w:jc w:val="both"/>
      </w:pPr>
      <w:r>
        <w:rPr>
          <w:rFonts w:ascii="Calibri" w:cs="Calibri" w:eastAsia="Calibri" w:hAnsi="Calibri"/>
          <w:b w:val="false"/>
          <w:bCs w:val="false"/>
          <w:color w:val="1A1A2E"/>
          <w:sz w:val="22"/>
          <w:szCs w:val="22"/>
        </w:rPr>
        <w:t xml:space="preserve">Second, risk scores are decision-support outputs, not automated decisions. No student is placed on an intervention programme, contacted by a welfare officer, or subject to any institutional action solely on the basis of a risk score. A trained advisor reviews the score, considers contextual factors not captured in the model, and exercises professional judgment before initiating any contact. The model informs the advisor's attention — it does not replace the advisor's judgment.</w:t>
      </w:r>
    </w:p>
    <w:p>
      <w:pPr>
        <w:spacing w:after="180" w:line="340" w:lineRule="auto"/>
        <w:jc w:val="both"/>
      </w:pPr>
      <w:r>
        <w:rPr>
          <w:rFonts w:ascii="Calibri" w:cs="Calibri" w:eastAsia="Calibri" w:hAnsi="Calibri"/>
          <w:b w:val="false"/>
          <w:bCs w:val="false"/>
          <w:color w:val="1A1A2E"/>
          <w:sz w:val="22"/>
          <w:szCs w:val="22"/>
        </w:rPr>
        <w:t xml:space="preserve">Third, students are informed. The institution publishes a clear, accessible explanation of its retention analytics programme: what data is used, how risk scores are computed, what interventions may be triggered, and how students can access their own risk profile or request a human review of an automated assessment. This transparency is not merely ethical best practice — it is a requirement under modern data protection frameworks and a condition of maintaining student trust in institutional data use.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CCCCC" w:sz="1"/>
              <w:left w:val="single" w:color="CCCCCC" w:sz="1"/>
              <w:bottom w:val="single" w:color="CCCCCC" w:sz="1"/>
              <w:right w:val="none" w:color="FFFFFF" w:sz="0"/>
            </w:tcBorders>
            <w:shd w:fill="C0392B" w:val="clear"/>
            <w:tcMar>
              <w:top w:type="dxa" w:w="120"/>
              <w:left w:type="dxa" w:w="80"/>
              <w:bottom w:type="dxa" w:w="120"/>
              <w:right w:type="dxa" w:w="80"/>
            </w:tcMar>
            <w:vAlign w:val="center"/>
          </w:tcPr>
          <w:p>
            <w:pPr>
              <w:jc w:val="center"/>
            </w:pPr>
            <w:r>
              <w:rPr>
                <w:rFonts w:ascii="Calibri" w:cs="Calibri" w:eastAsia="Calibri" w:hAnsi="Calibri"/>
                <w:b/>
                <w:bCs/>
                <w:color w:val="FFFFFF"/>
                <w:sz w:val="18"/>
                <w:szCs w:val="18"/>
              </w:rPr>
              <w:t xml:space="preserve">ETHICAL COMMITMENT</w:t>
            </w:r>
          </w:p>
        </w:tc>
        <w:tc>
          <w:tcPr>
            <w:tcW w:type="dxa" w:w="9060"/>
            <w:tcBorders>
              <w:top w:val="single" w:color="CCCCCC" w:sz="1"/>
              <w:left w:val="none" w:color="FFFFFF" w:sz="0"/>
              <w:bottom w:val="single" w:color="CCCCCC" w:sz="1"/>
              <w:right w:val="single" w:color="CCCCCC" w:sz="1"/>
            </w:tcBorders>
            <w:shd w:fill="F5F5F5" w:val="clear"/>
            <w:tcMar>
              <w:top w:type="dxa" w:w="120"/>
              <w:left w:type="dxa" w:w="160"/>
              <w:bottom w:type="dxa" w:w="120"/>
              <w:right w:type="dxa" w:w="160"/>
            </w:tcMar>
          </w:tcPr>
          <w:p>
            <w:r>
              <w:rPr>
                <w:rFonts w:ascii="Calibri" w:cs="Calibri" w:eastAsia="Calibri" w:hAnsi="Calibri"/>
                <w:color w:val="1A1A2E"/>
                <w:sz w:val="21"/>
                <w:szCs w:val="21"/>
              </w:rPr>
              <w:t xml:space="preserve">The dropout prediction model will not be deployed until it has passed: (1) a fairness audit with no statistically significant demographic bias; (2) an accuracy validation with AUC &gt; 0.80 on a withheld test cohort; and (3) a human review protocol confirmed operational by student support leadership.</w:t>
            </w:r>
          </w:p>
        </w:tc>
      </w:tr>
    </w:tbl>
    <w:p>
      <w:r>
        <w:br w:type="page"/>
      </w:r>
    </w:p>
    <w:p>
      <w:pPr>
        <w:pStyle w:val="Heading1"/>
        <w:pBdr>
          <w:bottom w:val="thick" w:color="1E3A5F" w:sz="8"/>
        </w:pBdr>
        <w:spacing w:before="480" w:after="200"/>
      </w:pPr>
      <w:r>
        <w:rPr>
          <w:rFonts w:ascii="Calibri" w:cs="Calibri" w:eastAsia="Calibri" w:hAnsi="Calibri"/>
          <w:b/>
          <w:bCs/>
          <w:color w:val="1E3A5F"/>
          <w:sz w:val="34"/>
          <w:szCs w:val="34"/>
        </w:rPr>
        <w:t xml:space="preserve">10. Strategic Prioritization and KPI Framework</w:t>
      </w:r>
    </w:p>
    <w:p>
      <w:pPr>
        <w:pStyle w:val="Heading2"/>
        <w:spacing w:before="360" w:after="160"/>
      </w:pPr>
      <w:r>
        <w:rPr>
          <w:rFonts w:ascii="Calibri" w:cs="Calibri" w:eastAsia="Calibri" w:hAnsi="Calibri"/>
          <w:b/>
          <w:bCs/>
          <w:color w:val="2E75B6"/>
          <w:sz w:val="28"/>
          <w:szCs w:val="28"/>
        </w:rPr>
        <w:t xml:space="preserve">10.1 The Optimization Matrix — Sequencing Investment for Maximum Impact</w:t>
      </w:r>
    </w:p>
    <w:p>
      <w:pPr>
        <w:spacing w:after="180" w:line="340" w:lineRule="auto"/>
        <w:jc w:val="both"/>
      </w:pPr>
      <w:r>
        <w:rPr>
          <w:rFonts w:ascii="Calibri" w:cs="Calibri" w:eastAsia="Calibri" w:hAnsi="Calibri"/>
          <w:b w:val="false"/>
          <w:bCs w:val="false"/>
          <w:color w:val="1A1A2E"/>
          <w:sz w:val="22"/>
          <w:szCs w:val="22"/>
        </w:rPr>
        <w:t xml:space="preserve">The prioritization framework applies an impact-versus-effort matrix to the full portfolio of analytics initiatives within this strategy, sequencing execution to deliver early value — building institutional confidence and budget justification — while laying the architectural foundations for the high-effort, high-impact strategic bets that deliver the dropout prediction capability.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
            </w:r>
          </w:p>
        </w:tc>
        <w:tc>
          <w:tcPr>
            <w:tcW w:type="dxa" w:w="390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Low Effort</w:t>
            </w:r>
          </w:p>
        </w:tc>
        <w:tc>
          <w:tcPr>
            <w:tcW w:type="dxa" w:w="390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High Effort</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High Impact</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QUICK WINS (Phase 1): Structured data audit; KPI standardisation; prototype retention dashboard using existing data; governance committee establishment; data steward appointments</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STRATEGIC BETS (Phase 2–3): Lakehouse build; ETL/ELT pipeline deployment; ML dropout model development; automated early warning alert system; fairness-audited model production deployment</w:t>
            </w:r>
          </w:p>
        </w:tc>
      </w:tr>
      <w:tr>
        <w:tc>
          <w:tcPr>
            <w:tcW w:type="dxa" w:w="1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bCs/>
                <w:color w:val="1A1A2E"/>
                <w:sz w:val="20"/>
                <w:szCs w:val="20"/>
              </w:rPr>
              <w:t xml:space="preserve">Low Impact</w:t>
            </w:r>
          </w:p>
        </w:tc>
        <w:tc>
          <w:tcPr>
            <w:tcW w:type="dxa" w:w="3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BACKBURNER: Faculty-level ad-hoc reporting portals; standalone departmental spreadsheet replacement</w:t>
            </w:r>
          </w:p>
        </w:tc>
        <w:tc>
          <w:tcPr>
            <w:tcW w:type="dxa" w:w="3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DEPRIORITIZE: Full enterprise BI suite with custom visualisation framework; real-time IoT campus sensor integration (Phase 4+)</w:t>
            </w:r>
          </w:p>
        </w:tc>
      </w:tr>
    </w:tbl>
    <w:p>
      <w:pPr>
        <w:spacing w:after="120"/>
      </w:pPr>
      <w:r>
        <w:t xml:space="preserve"/>
      </w:r>
    </w:p>
    <w:p>
      <w:pPr>
        <w:pStyle w:val="Heading2"/>
        <w:spacing w:before="360" w:after="160"/>
      </w:pPr>
      <w:r>
        <w:rPr>
          <w:rFonts w:ascii="Calibri" w:cs="Calibri" w:eastAsia="Calibri" w:hAnsi="Calibri"/>
          <w:b/>
          <w:bCs/>
          <w:color w:val="2E75B6"/>
          <w:sz w:val="28"/>
          <w:szCs w:val="28"/>
        </w:rPr>
        <w:t xml:space="preserve">10.2 KPI Framework — Measurable, Phased, Architecture-Linked</w:t>
      </w:r>
    </w:p>
    <w:p>
      <w:pPr>
        <w:spacing w:after="180" w:line="340" w:lineRule="auto"/>
        <w:jc w:val="both"/>
      </w:pPr>
      <w:r>
        <w:rPr>
          <w:rFonts w:ascii="Calibri" w:cs="Calibri" w:eastAsia="Calibri" w:hAnsi="Calibri"/>
          <w:b w:val="false"/>
          <w:bCs w:val="false"/>
          <w:color w:val="1A1A2E"/>
          <w:sz w:val="22"/>
          <w:szCs w:val="22"/>
        </w:rPr>
        <w:t xml:space="preserve">The KPI framework is structured in four domains: student retention outcomes, data infrastructure performance, analytics capability maturity, and governance compliance. Each KPI carries a documented baseline, a Phase 2 interim target (end of month 8), and a Phase 3 final target (end of month 12). All KPIs are measurable within the Lakehouse architecture — not aspirational statements, but operationalised metrics with defined data sources and calculation methodologies.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620"/>
        <w:gridCol w:w="1620"/>
        <w:gridCol w:w="1620"/>
      </w:tblGrid>
      <w:tr>
        <w:tc>
          <w:tcPr>
            <w:tcW w:type="dxa" w:w="200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KPI Category</w:t>
            </w:r>
          </w:p>
        </w:tc>
        <w:tc>
          <w:tcPr>
            <w:tcW w:type="dxa" w:w="250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Metric</w:t>
            </w:r>
          </w:p>
        </w:tc>
        <w:tc>
          <w:tcPr>
            <w:tcW w:type="dxa" w:w="162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Baseline</w:t>
            </w:r>
          </w:p>
        </w:tc>
        <w:tc>
          <w:tcPr>
            <w:tcW w:type="dxa" w:w="162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Phase 2 Target</w:t>
            </w:r>
          </w:p>
        </w:tc>
        <w:tc>
          <w:tcPr>
            <w:tcW w:type="dxa" w:w="162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Phase 3 Target</w:t>
            </w:r>
          </w:p>
        </w:tc>
      </w:tr>
      <w:tr>
        <w:tc>
          <w:tcPr>
            <w:tcW w:type="dxa" w:w="2000"/>
            <w:tcBorders>
              <w:top w:val="single" w:color="999999" w:sz="1"/>
              <w:left w:val="single" w:color="999999" w:sz="1"/>
              <w:bottom w:val="single" w:color="999999" w:sz="1"/>
              <w:right w:val="single" w:color="999999" w:sz="1"/>
            </w:tcBorders>
            <w:shd w:fill="1A6B3A" w:val="clear"/>
            <w:tcMar>
              <w:top w:type="dxa" w:w="80"/>
              <w:left w:type="dxa" w:w="120"/>
              <w:bottom w:type="dxa" w:w="80"/>
              <w:right w:type="dxa" w:w="120"/>
            </w:tcMar>
          </w:tcPr>
          <w:p>
            <w:r>
              <w:rPr>
                <w:rFonts w:ascii="Calibri" w:cs="Calibri" w:eastAsia="Calibri" w:hAnsi="Calibri"/>
                <w:b/>
                <w:bCs/>
                <w:color w:val="FFFFFF"/>
                <w:sz w:val="20"/>
                <w:szCs w:val="20"/>
              </w:rPr>
              <w:t xml:space="preserve">Student Retention</w:t>
            </w:r>
          </w:p>
        </w:tc>
        <w:tc>
          <w:tcPr>
            <w:tcW w:type="dxa" w:w="2500"/>
            <w:tcBorders>
              <w:top w:val="single" w:color="999999" w:sz="1"/>
              <w:left w:val="single" w:color="999999" w:sz="1"/>
              <w:bottom w:val="single" w:color="999999" w:sz="1"/>
              <w:right w:val="single" w:color="999999" w:sz="1"/>
            </w:tcBorders>
            <w:shd w:fill="1A6B3A"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1620"/>
            <w:tcBorders>
              <w:top w:val="single" w:color="999999" w:sz="1"/>
              <w:left w:val="single" w:color="999999" w:sz="1"/>
              <w:bottom w:val="single" w:color="999999" w:sz="1"/>
              <w:right w:val="single" w:color="999999" w:sz="1"/>
            </w:tcBorders>
            <w:shd w:fill="1A6B3A"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1620"/>
            <w:tcBorders>
              <w:top w:val="single" w:color="999999" w:sz="1"/>
              <w:left w:val="single" w:color="999999" w:sz="1"/>
              <w:bottom w:val="single" w:color="999999" w:sz="1"/>
              <w:right w:val="single" w:color="999999" w:sz="1"/>
            </w:tcBorders>
            <w:shd w:fill="1A6B3A"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1620"/>
            <w:tcBorders>
              <w:top w:val="single" w:color="999999" w:sz="1"/>
              <w:left w:val="single" w:color="999999" w:sz="1"/>
              <w:bottom w:val="single" w:color="999999" w:sz="1"/>
              <w:right w:val="single" w:color="999999" w:sz="1"/>
            </w:tcBorders>
            <w:shd w:fill="1A6B3A"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First-year dropout rate</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25–30%</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20–22%</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15–18%</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
            </w:r>
          </w:p>
        </w:tc>
        <w:tc>
          <w:tcPr>
            <w:tcW w:type="dxa" w:w="25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At-risk identification speed (weeks into semester)</w:t>
            </w:r>
          </w:p>
        </w:tc>
        <w:tc>
          <w:tcPr>
            <w:tcW w:type="dxa" w:w="16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Weeks 10–12</w:t>
            </w:r>
          </w:p>
        </w:tc>
        <w:tc>
          <w:tcPr>
            <w:tcW w:type="dxa" w:w="16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Weeks 6–8</w:t>
            </w:r>
          </w:p>
        </w:tc>
        <w:tc>
          <w:tcPr>
            <w:tcW w:type="dxa" w:w="16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Weeks 3–5</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Intervention success rate</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Not tracked</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40%</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&gt;60%</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
            </w:r>
          </w:p>
        </w:tc>
        <w:tc>
          <w:tcPr>
            <w:tcW w:type="dxa" w:w="25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Student satisfaction (retention survey)</w:t>
            </w:r>
          </w:p>
        </w:tc>
        <w:tc>
          <w:tcPr>
            <w:tcW w:type="dxa" w:w="16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Baseline survey</w:t>
            </w:r>
          </w:p>
        </w:tc>
        <w:tc>
          <w:tcPr>
            <w:tcW w:type="dxa" w:w="16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+5 pts NPS</w:t>
            </w:r>
          </w:p>
        </w:tc>
        <w:tc>
          <w:tcPr>
            <w:tcW w:type="dxa" w:w="16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+12 pts NPS</w:t>
            </w:r>
          </w:p>
        </w:tc>
      </w:tr>
      <w:tr>
        <w:tc>
          <w:tcPr>
            <w:tcW w:type="dxa" w:w="20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Data Infrastructure</w:t>
            </w:r>
          </w:p>
        </w:tc>
        <w:tc>
          <w:tcPr>
            <w:tcW w:type="dxa" w:w="25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162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162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162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Data quality index (completeness × accuracy)</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&lt;55%</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&gt;75%</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&gt;88%</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
            </w:r>
          </w:p>
        </w:tc>
        <w:tc>
          <w:tcPr>
            <w:tcW w:type="dxa" w:w="25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ETL pipeline uptime</w:t>
            </w:r>
          </w:p>
        </w:tc>
        <w:tc>
          <w:tcPr>
            <w:tcW w:type="dxa" w:w="16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N/A</w:t>
            </w:r>
          </w:p>
        </w:tc>
        <w:tc>
          <w:tcPr>
            <w:tcW w:type="dxa" w:w="16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&gt;97%</w:t>
            </w:r>
          </w:p>
        </w:tc>
        <w:tc>
          <w:tcPr>
            <w:tcW w:type="dxa" w:w="16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&gt;99.5%</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Reporting automation rate</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0%</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50%</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&gt;80%</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
            </w:r>
          </w:p>
        </w:tc>
        <w:tc>
          <w:tcPr>
            <w:tcW w:type="dxa" w:w="25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Cross-system data integration coverage</w:t>
            </w:r>
          </w:p>
        </w:tc>
        <w:tc>
          <w:tcPr>
            <w:tcW w:type="dxa" w:w="16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0 of 5 systems</w:t>
            </w:r>
          </w:p>
        </w:tc>
        <w:tc>
          <w:tcPr>
            <w:tcW w:type="dxa" w:w="16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4 of 5 systems</w:t>
            </w:r>
          </w:p>
        </w:tc>
        <w:tc>
          <w:tcPr>
            <w:tcW w:type="dxa" w:w="16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5 of 5 systems</w:t>
            </w:r>
          </w:p>
        </w:tc>
      </w:tr>
      <w:tr>
        <w:tc>
          <w:tcPr>
            <w:tcW w:type="dxa" w:w="2000"/>
            <w:tcBorders>
              <w:top w:val="single" w:color="999999" w:sz="1"/>
              <w:left w:val="single" w:color="999999" w:sz="1"/>
              <w:bottom w:val="single" w:color="999999" w:sz="1"/>
              <w:right w:val="single" w:color="999999" w:sz="1"/>
            </w:tcBorders>
            <w:shd w:fill="0D6E6E" w:val="clear"/>
            <w:tcMar>
              <w:top w:type="dxa" w:w="80"/>
              <w:left w:type="dxa" w:w="120"/>
              <w:bottom w:type="dxa" w:w="80"/>
              <w:right w:type="dxa" w:w="120"/>
            </w:tcMar>
          </w:tcPr>
          <w:p>
            <w:r>
              <w:rPr>
                <w:rFonts w:ascii="Calibri" w:cs="Calibri" w:eastAsia="Calibri" w:hAnsi="Calibri"/>
                <w:b/>
                <w:bCs/>
                <w:color w:val="FFFFFF"/>
                <w:sz w:val="20"/>
                <w:szCs w:val="20"/>
              </w:rPr>
              <w:t xml:space="preserve">Analytics Maturity</w:t>
            </w:r>
          </w:p>
        </w:tc>
        <w:tc>
          <w:tcPr>
            <w:tcW w:type="dxa" w:w="2500"/>
            <w:tcBorders>
              <w:top w:val="single" w:color="999999" w:sz="1"/>
              <w:left w:val="single" w:color="999999" w:sz="1"/>
              <w:bottom w:val="single" w:color="999999" w:sz="1"/>
              <w:right w:val="single" w:color="999999" w:sz="1"/>
            </w:tcBorders>
            <w:shd w:fill="0D6E6E"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1620"/>
            <w:tcBorders>
              <w:top w:val="single" w:color="999999" w:sz="1"/>
              <w:left w:val="single" w:color="999999" w:sz="1"/>
              <w:bottom w:val="single" w:color="999999" w:sz="1"/>
              <w:right w:val="single" w:color="999999" w:sz="1"/>
            </w:tcBorders>
            <w:shd w:fill="0D6E6E"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1620"/>
            <w:tcBorders>
              <w:top w:val="single" w:color="999999" w:sz="1"/>
              <w:left w:val="single" w:color="999999" w:sz="1"/>
              <w:bottom w:val="single" w:color="999999" w:sz="1"/>
              <w:right w:val="single" w:color="999999" w:sz="1"/>
            </w:tcBorders>
            <w:shd w:fill="0D6E6E"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1620"/>
            <w:tcBorders>
              <w:top w:val="single" w:color="999999" w:sz="1"/>
              <w:left w:val="single" w:color="999999" w:sz="1"/>
              <w:bottom w:val="single" w:color="999999" w:sz="1"/>
              <w:right w:val="single" w:color="999999" w:sz="1"/>
            </w:tcBorders>
            <w:shd w:fill="0D6E6E"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Analytics maturity level</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Ad-Hoc (L1)</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Diagnostic (L2–L3)</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Predictive (L3–L4)</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
            </w:r>
          </w:p>
        </w:tc>
        <w:tc>
          <w:tcPr>
            <w:tcW w:type="dxa" w:w="25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Predictive model accuracy (AUC)</w:t>
            </w:r>
          </w:p>
        </w:tc>
        <w:tc>
          <w:tcPr>
            <w:tcW w:type="dxa" w:w="16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N/A</w:t>
            </w:r>
          </w:p>
        </w:tc>
        <w:tc>
          <w:tcPr>
            <w:tcW w:type="dxa" w:w="16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N/A — model build</w:t>
            </w:r>
          </w:p>
        </w:tc>
        <w:tc>
          <w:tcPr>
            <w:tcW w:type="dxa" w:w="16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&gt;0.80 AUC</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Active dashboards in production</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0</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3 (core KPI, retention, finance)</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8+ (faculty, advisors, exec, student)</w:t>
            </w:r>
          </w:p>
        </w:tc>
      </w:tr>
      <w:tr>
        <w:tc>
          <w:tcPr>
            <w:tcW w:type="dxa" w:w="2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Governance &amp; Compliance</w:t>
            </w:r>
          </w:p>
        </w:tc>
        <w:tc>
          <w:tcPr>
            <w:tcW w:type="dxa" w:w="25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162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162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162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Data steward coverage (% of systems governed)</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0%</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60%</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100%</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
            </w:r>
          </w:p>
        </w:tc>
        <w:tc>
          <w:tcPr>
            <w:tcW w:type="dxa" w:w="25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Privacy audit pass rate</w:t>
            </w:r>
          </w:p>
        </w:tc>
        <w:tc>
          <w:tcPr>
            <w:tcW w:type="dxa" w:w="16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N/A</w:t>
            </w:r>
          </w:p>
        </w:tc>
        <w:tc>
          <w:tcPr>
            <w:tcW w:type="dxa" w:w="16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First audit completed</w:t>
            </w:r>
          </w:p>
        </w:tc>
        <w:tc>
          <w:tcPr>
            <w:tcW w:type="dxa" w:w="162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100% compliant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RBAC enforcement (% of analytics users under policy)</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0%</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70%</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100%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CCCCC" w:sz="1"/>
              <w:left w:val="single" w:color="CCCCCC" w:sz="1"/>
              <w:bottom w:val="single" w:color="CCCCCC" w:sz="1"/>
              <w:right w:val="none" w:color="FFFFFF" w:sz="0"/>
            </w:tcBorders>
            <w:shd w:fill="0D6E6E" w:val="clear"/>
            <w:tcMar>
              <w:top w:type="dxa" w:w="120"/>
              <w:left w:type="dxa" w:w="80"/>
              <w:bottom w:type="dxa" w:w="120"/>
              <w:right w:type="dxa" w:w="80"/>
            </w:tcMar>
            <w:vAlign w:val="center"/>
          </w:tcPr>
          <w:p>
            <w:pPr>
              <w:jc w:val="center"/>
            </w:pPr>
            <w:r>
              <w:rPr>
                <w:rFonts w:ascii="Calibri" w:cs="Calibri" w:eastAsia="Calibri" w:hAnsi="Calibri"/>
                <w:b/>
                <w:bCs/>
                <w:color w:val="FFFFFF"/>
                <w:sz w:val="18"/>
                <w:szCs w:val="18"/>
              </w:rPr>
              <w:t xml:space="preserve">KPI GOVERNANCE</w:t>
            </w:r>
          </w:p>
        </w:tc>
        <w:tc>
          <w:tcPr>
            <w:tcW w:type="dxa" w:w="9060"/>
            <w:tcBorders>
              <w:top w:val="single" w:color="CCCCCC" w:sz="1"/>
              <w:left w:val="none" w:color="FFFFFF" w:sz="0"/>
              <w:bottom w:val="single" w:color="CCCCCC" w:sz="1"/>
              <w:right w:val="single" w:color="CCCCCC" w:sz="1"/>
            </w:tcBorders>
            <w:shd w:fill="F5F5F5" w:val="clear"/>
            <w:tcMar>
              <w:top w:type="dxa" w:w="120"/>
              <w:left w:type="dxa" w:w="160"/>
              <w:bottom w:type="dxa" w:w="120"/>
              <w:right w:type="dxa" w:w="160"/>
            </w:tcMar>
          </w:tcPr>
          <w:p>
            <w:r>
              <w:rPr>
                <w:rFonts w:ascii="Calibri" w:cs="Calibri" w:eastAsia="Calibri" w:hAnsi="Calibri"/>
                <w:color w:val="1A1A2E"/>
                <w:sz w:val="21"/>
                <w:szCs w:val="21"/>
              </w:rPr>
              <w:t xml:space="preserve">KPI definitions, calculation methodologies, and data sources are documented in the institutional business glossary (metadata management layer). Any change to a KPI definition requires DGC approval and version-controlled documentation. Dashboard KPIs are not updated without corresponding glossary updates.</w:t>
            </w:r>
          </w:p>
        </w:tc>
      </w:tr>
    </w:tbl>
    <w:p>
      <w:r>
        <w:br w:type="page"/>
      </w:r>
    </w:p>
    <w:p>
      <w:pPr>
        <w:pStyle w:val="Heading1"/>
        <w:pBdr>
          <w:bottom w:val="thick" w:color="1E3A5F" w:sz="8"/>
        </w:pBdr>
        <w:spacing w:before="480" w:after="200"/>
      </w:pPr>
      <w:r>
        <w:rPr>
          <w:rFonts w:ascii="Calibri" w:cs="Calibri" w:eastAsia="Calibri" w:hAnsi="Calibri"/>
          <w:b/>
          <w:bCs/>
          <w:color w:val="1E3A5F"/>
          <w:sz w:val="34"/>
          <w:szCs w:val="34"/>
        </w:rPr>
        <w:t xml:space="preserve">11. Implementation Roadmap — Phased Architecture Activation</w:t>
      </w:r>
    </w:p>
    <w:p>
      <w:pPr>
        <w:spacing w:after="180" w:line="340" w:lineRule="auto"/>
        <w:jc w:val="both"/>
      </w:pPr>
      <w:r>
        <w:rPr>
          <w:rFonts w:ascii="Calibri" w:cs="Calibri" w:eastAsia="Calibri" w:hAnsi="Calibri"/>
          <w:b w:val="false"/>
          <w:bCs w:val="false"/>
          <w:color w:val="1A1A2E"/>
          <w:sz w:val="22"/>
          <w:szCs w:val="22"/>
        </w:rPr>
        <w:t xml:space="preserve">The implementation roadmap sequences architecture activation across three phases, each building on the prior phase's deliverables. The architecture does not change between phases — the Lakehouse design is fixed from Phase 1. What changes is the activation of each architectural layer: Phase 1 activates the governance and structured data foundation; Phase 2 activates the full integration and Lakehouse infrastructure; Phase 3 activates the machine learning and predictive analytics capability.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
            </w:r>
          </w:p>
        </w:tc>
        <w:tc>
          <w:tcPr>
            <w:tcW w:type="dxa" w:w="260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Phase 1 (Months 1–3): Foundation</w:t>
            </w:r>
          </w:p>
        </w:tc>
        <w:tc>
          <w:tcPr>
            <w:tcW w:type="dxa" w:w="260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Phase 2 (Months 4–8): Infrastructure</w:t>
            </w:r>
          </w:p>
        </w:tc>
        <w:tc>
          <w:tcPr>
            <w:tcW w:type="dxa" w:w="2600"/>
            <w:tcBorders>
              <w:top w:val="single" w:color="999999" w:sz="1"/>
              <w:left w:val="single" w:color="999999" w:sz="1"/>
              <w:bottom w:val="single" w:color="999999" w:sz="1"/>
              <w:right w:val="single" w:color="999999"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Phase 3 (Months 9–12): Intelligence</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Architecture Layer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Governance structure + structured data audit + prototype reporting</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Full Lakehouse build: raw landing zone, silver layer, gold layer; all 5 ETL/ELT pipelines; API integrations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Analytics sandbox activation; ML model development, fairness audit, production deployment; automated early warning system</w:t>
            </w:r>
          </w:p>
        </w:tc>
      </w:tr>
      <w:tr>
        <w:tc>
          <w:tcPr>
            <w:tcW w:type="dxa" w:w="1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Key Deliverables</w:t>
            </w:r>
          </w:p>
        </w:tc>
        <w:tc>
          <w:tcPr>
            <w:tcW w:type="dxa" w:w="26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Data audit report; KPI definitions; DGC established; data stewards appointed; prototype retention dashboard (structured data only)</w:t>
            </w:r>
          </w:p>
        </w:tc>
        <w:tc>
          <w:tcPr>
            <w:tcW w:type="dxa" w:w="26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Lakehouse on Delta Lake; dbt transformation pipelines; metadata management deployed; automated reporting dashboards; RBAC policies active</w:t>
            </w:r>
          </w:p>
        </w:tc>
        <w:tc>
          <w:tcPr>
            <w:tcW w:type="dxa" w:w="26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Dropout prediction model (AUC &gt;0.80); fairness audit report; early warning alert system live; prescriptive intervention recommendations piloted</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Critical Dependencies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Executive sponsorship; data steward appointments; source system access agreements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Cloud infrastructure provisioning; IT team training; source system API documentation from vendors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Labelled historical cohort data (5+ years); data scientist capacity; student support team training on risk score interpretation</w:t>
            </w:r>
          </w:p>
        </w:tc>
      </w:tr>
      <w:tr>
        <w:tc>
          <w:tcPr>
            <w:tcW w:type="dxa" w:w="1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Risk</w:t>
            </w:r>
          </w:p>
        </w:tc>
        <w:tc>
          <w:tcPr>
            <w:tcW w:type="dxa" w:w="26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Stakeholder resistance to governance formalisation; data quality issues surface during audit (expected and manageable)</w:t>
            </w:r>
          </w:p>
        </w:tc>
        <w:tc>
          <w:tcPr>
            <w:tcW w:type="dxa" w:w="26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ETL pipeline complexity higher than estimated if source systems lack API documentation; metadata schema design takes longer than scheduled</w:t>
            </w:r>
          </w:p>
        </w:tc>
        <w:tc>
          <w:tcPr>
            <w:tcW w:type="dxa" w:w="26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Model accuracy below threshold on first training run (requires additional feature engineering cycles); fairness audit identifies bias (requires model retraining)</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Milestone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Prototype dashboard approved by Vice-Chancellor; data audit findings presented to DGC</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Integrated Lakehouse with automated daily/weekly refreshes across all 5 systems; full RBAC active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Validated dropout prediction model in production; first semester of early warning system operation; post-deployment review</w:t>
            </w:r>
          </w:p>
        </w:tc>
      </w:tr>
    </w:tbl>
    <w:p>
      <w:pPr>
        <w:spacing w:after="120"/>
      </w:pPr>
      <w:r>
        <w:t xml:space="preserve"/>
      </w:r>
    </w:p>
    <w:p>
      <w:pPr>
        <w:spacing w:after="180" w:line="340" w:lineRule="auto"/>
        <w:jc w:val="both"/>
      </w:pPr>
      <w:r>
        <w:rPr>
          <w:rFonts w:ascii="Calibri" w:cs="Calibri" w:eastAsia="Calibri" w:hAnsi="Calibri"/>
          <w:b w:val="false"/>
          <w:bCs w:val="false"/>
          <w:color w:val="1A1A2E"/>
          <w:sz w:val="22"/>
          <w:szCs w:val="22"/>
        </w:rPr>
        <w:t xml:space="preserve">The roadmap does not prescribe weekly task assignments — that is the responsibility of the implementation project manager. It prescribes architectural dependencies and milestone criteria that must be met before each phase transition. The transition from Phase 1 to Phase 2 is gated on DGC establishment and data audit completion. The transition from Phase 2 to Phase 3 is gated on Lakehouse operational stability (pipeline uptime &gt;97% for 30 consecutive days) and RBAC policies verified by a security review.</w:t>
      </w:r>
    </w:p>
    <w:p>
      <w:r>
        <w:br w:type="page"/>
      </w:r>
    </w:p>
    <w:p>
      <w:pPr>
        <w:pStyle w:val="Heading1"/>
        <w:pBdr>
          <w:bottom w:val="thick" w:color="1E3A5F" w:sz="8"/>
        </w:pBdr>
        <w:spacing w:before="480" w:after="200"/>
      </w:pPr>
      <w:r>
        <w:rPr>
          <w:rFonts w:ascii="Calibri" w:cs="Calibri" w:eastAsia="Calibri" w:hAnsi="Calibri"/>
          <w:b/>
          <w:bCs/>
          <w:color w:val="1E3A5F"/>
          <w:sz w:val="34"/>
          <w:szCs w:val="34"/>
        </w:rPr>
        <w:t xml:space="preserve">12. Expected Strategic Impact and Value Realisation</w:t>
      </w:r>
    </w:p>
    <w:p>
      <w:pPr>
        <w:pStyle w:val="Heading2"/>
        <w:spacing w:before="360" w:after="160"/>
      </w:pPr>
      <w:r>
        <w:rPr>
          <w:rFonts w:ascii="Calibri" w:cs="Calibri" w:eastAsia="Calibri" w:hAnsi="Calibri"/>
          <w:b/>
          <w:bCs/>
          <w:color w:val="2E75B6"/>
          <w:sz w:val="28"/>
          <w:szCs w:val="28"/>
        </w:rPr>
        <w:t xml:space="preserve">12.1 Student Outcomes</w:t>
      </w:r>
    </w:p>
    <w:p>
      <w:pPr>
        <w:spacing w:after="180" w:line="340" w:lineRule="auto"/>
        <w:jc w:val="both"/>
      </w:pPr>
      <w:r>
        <w:rPr>
          <w:rFonts w:ascii="Calibri" w:cs="Calibri" w:eastAsia="Calibri" w:hAnsi="Calibri"/>
          <w:b w:val="false"/>
          <w:bCs w:val="false"/>
          <w:color w:val="1A1A2E"/>
          <w:sz w:val="22"/>
          <w:szCs w:val="22"/>
        </w:rPr>
        <w:t xml:space="preserve">The primary strategic justification for this investment is student outcomes, not technology capability. The dropout prediction model, operating on a full Lakehouse integration of the five operational systems, is projected to identify at-risk students by week three to five of the semester — seven to nine weeks earlier than the current reactive identification point of weeks ten to twelve. That window of additional intervention opportunity is the mechanism through which dropout rates decline: not by eliminating the risk factors themselves, but by enabling the institution to respond to them before they compound into an irreversible withdrawal decision.</w:t>
      </w:r>
    </w:p>
    <w:p>
      <w:pPr>
        <w:spacing w:after="180" w:line="340" w:lineRule="auto"/>
        <w:jc w:val="both"/>
      </w:pPr>
      <w:r>
        <w:rPr>
          <w:rFonts w:ascii="Calibri" w:cs="Calibri" w:eastAsia="Calibri" w:hAnsi="Calibri"/>
          <w:b w:val="false"/>
          <w:bCs w:val="false"/>
          <w:color w:val="1A1A2E"/>
          <w:sz w:val="22"/>
          <w:szCs w:val="22"/>
        </w:rPr>
        <w:t xml:space="preserve">A conservative projection of 20–30% reduction in first-year dropout rates within 18 months of full deployment is based on outcomes observed at comparable institutions that have deployed similar early warning systems. The institution should establish a pre-deployment baseline measurement, a semester-one post-deployment measurement, and a two-year longitudinal tracking protocol to validate the projection against actual outcomes.</w:t>
      </w:r>
    </w:p>
    <w:p>
      <w:pPr>
        <w:pStyle w:val="Heading2"/>
        <w:spacing w:before="360" w:after="160"/>
      </w:pPr>
      <w:r>
        <w:rPr>
          <w:rFonts w:ascii="Calibri" w:cs="Calibri" w:eastAsia="Calibri" w:hAnsi="Calibri"/>
          <w:b/>
          <w:bCs/>
          <w:color w:val="2E75B6"/>
          <w:sz w:val="28"/>
          <w:szCs w:val="28"/>
        </w:rPr>
        <w:t xml:space="preserve">12.2 Financial Sustainability</w:t>
      </w:r>
    </w:p>
    <w:p>
      <w:pPr>
        <w:spacing w:after="180" w:line="340" w:lineRule="auto"/>
        <w:jc w:val="both"/>
      </w:pPr>
      <w:r>
        <w:rPr>
          <w:rFonts w:ascii="Calibri" w:cs="Calibri" w:eastAsia="Calibri" w:hAnsi="Calibri"/>
          <w:b w:val="false"/>
          <w:bCs w:val="false"/>
          <w:color w:val="1A1A2E"/>
          <w:sz w:val="22"/>
          <w:szCs w:val="22"/>
        </w:rPr>
        <w:t xml:space="preserve">The financial return on investment is directly calculable from the dropout reduction projection. Each retained first-year student generates at minimum three additional years of tuition revenue (assuming a four-year programme). A 10 percentage-point reduction in first-year dropout — from 25% to 15% on a cohort of 5,000 students — retains 500 additional students annually. The multi-year revenue value of those 500 students materially exceeds the total cost of the Lakehouse infrastructure investment, the analytics tooling, and the data science staffing required to build and operate the system. The investment pays back within the first year of demonstrated dropout reduction. This is not a cost centre — it is a revenue protection and recovery programme.</w:t>
      </w:r>
    </w:p>
    <w:p>
      <w:pPr>
        <w:pStyle w:val="Heading2"/>
        <w:spacing w:before="360" w:after="160"/>
      </w:pPr>
      <w:r>
        <w:rPr>
          <w:rFonts w:ascii="Calibri" w:cs="Calibri" w:eastAsia="Calibri" w:hAnsi="Calibri"/>
          <w:b/>
          <w:bCs/>
          <w:color w:val="2E75B6"/>
          <w:sz w:val="28"/>
          <w:szCs w:val="28"/>
        </w:rPr>
        <w:t xml:space="preserve">12.3 Institutional Credibility and Regulatory Standing</w:t>
      </w:r>
    </w:p>
    <w:p>
      <w:pPr>
        <w:spacing w:after="180" w:line="340" w:lineRule="auto"/>
        <w:jc w:val="both"/>
      </w:pPr>
      <w:r>
        <w:rPr>
          <w:rFonts w:ascii="Calibri" w:cs="Calibri" w:eastAsia="Calibri" w:hAnsi="Calibri"/>
          <w:b w:val="false"/>
          <w:bCs w:val="false"/>
          <w:color w:val="1A1A2E"/>
          <w:sz w:val="22"/>
          <w:szCs w:val="22"/>
        </w:rPr>
        <w:t xml:space="preserve">A transparent, data-governed approach to student retention demonstrates institutional accountability in a form that accreditation bodies, governing councils, and prospective students increasingly demand. The ability to produce validated retention metrics, explain the data sources and methodology behind risk scores, and demonstrate the existence of evidence-based, human-mediated intervention protocols transforms the institution's position from reactive to proactive in every external quality review.</w:t>
      </w:r>
    </w:p>
    <w:p>
      <w:pPr>
        <w:spacing w:after="180" w:line="340" w:lineRule="auto"/>
        <w:jc w:val="both"/>
      </w:pPr>
      <w:r>
        <w:rPr>
          <w:rFonts w:ascii="Calibri" w:cs="Calibri" w:eastAsia="Calibri" w:hAnsi="Calibri"/>
          <w:b w:val="false"/>
          <w:bCs w:val="false"/>
          <w:color w:val="1A1A2E"/>
          <w:sz w:val="22"/>
          <w:szCs w:val="22"/>
        </w:rPr>
        <w:t xml:space="preserve">The metadata management layer is particularly valuable in this context: it provides the auditable trail from raw data to published KPI that external reviewers require. When an accreditor asks 'How is your retention rate calculated?', the answer is not a narrative description — it is a documented, version-controlled data lineage from the five source systems through the ETL pipeline to the gold layer metric, available in the metadata catalogue within minutes.</w:t>
      </w:r>
    </w:p>
    <w:p>
      <w:pPr>
        <w:pStyle w:val="Heading2"/>
        <w:spacing w:before="360" w:after="160"/>
      </w:pPr>
      <w:r>
        <w:rPr>
          <w:rFonts w:ascii="Calibri" w:cs="Calibri" w:eastAsia="Calibri" w:hAnsi="Calibri"/>
          <w:b/>
          <w:bCs/>
          <w:color w:val="2E75B6"/>
          <w:sz w:val="28"/>
          <w:szCs w:val="28"/>
        </w:rPr>
        <w:t xml:space="preserve">12.4 Scalability and Long-Term Architecture Value</w:t>
      </w:r>
    </w:p>
    <w:p>
      <w:pPr>
        <w:spacing w:after="180" w:line="340" w:lineRule="auto"/>
        <w:jc w:val="both"/>
      </w:pPr>
      <w:r>
        <w:rPr>
          <w:rFonts w:ascii="Calibri" w:cs="Calibri" w:eastAsia="Calibri" w:hAnsi="Calibri"/>
          <w:b w:val="false"/>
          <w:bCs w:val="false"/>
          <w:color w:val="1A1A2E"/>
          <w:sz w:val="22"/>
          <w:szCs w:val="22"/>
        </w:rPr>
        <w:t xml:space="preserve">The Lakehouse architecture does not become obsolete as the institution grows. Object storage scales elastically. Spark compute clusters scale horizontally to accommodate larger student populations and more complex model training workloads. The open table format (Delta Lake or Iceberg) is vendor-neutral, ensuring that the institution is not locked into a single cloud provider or tooling vendor. The metadata management layer accommodates new source systems without architectural redesign. The governance framework, once established, applies equally to the tenth operational system as to the first five.</w:t>
      </w:r>
    </w:p>
    <w:p>
      <w:pPr>
        <w:spacing w:after="180" w:line="340" w:lineRule="auto"/>
        <w:jc w:val="both"/>
      </w:pPr>
      <w:r>
        <w:rPr>
          <w:rFonts w:ascii="Calibri" w:cs="Calibri" w:eastAsia="Calibri" w:hAnsi="Calibri"/>
          <w:b w:val="false"/>
          <w:bCs w:val="false"/>
          <w:color w:val="1A1A2E"/>
          <w:sz w:val="22"/>
          <w:szCs w:val="22"/>
        </w:rPr>
        <w:t xml:space="preserve">The strategic asset that this architecture creates is not the dropout prediction model — models become stale and must be retrained. The strategic asset is the data infrastructure: a governed, integrated, historically rich Lakehouse that can answer analytical questions the institution has not yet thought to ask. That infrastructure serves the dropout use case today; it serves research analytics, financial planning, programme quality assessment, and student experience design tomorrow. The investment is not for a single use case — it is for the institution's analytical future.</w:t>
      </w:r>
    </w:p>
    <w:p>
      <w:pPr>
        <w:spacing w:after="120"/>
      </w:pPr>
      <w:r>
        <w:t xml:space="preserve"/>
      </w:r>
    </w:p>
    <w:p>
      <w:pPr>
        <w:spacing w:after="120"/>
      </w:pPr>
      <w:r>
        <w:t xml:space="preserve"/>
      </w:r>
    </w:p>
    <w:p>
      <w:pPr>
        <w:pBdr>
          <w:bottom w:val="single" w:color="1E3A5F" w:sz="4"/>
        </w:pBdr>
        <w:spacing w:before="160" w:after="160"/>
      </w:pPr>
      <w:r>
        <w:t xml:space="preserve"/>
      </w:r>
    </w:p>
    <w:p>
      <w:pPr>
        <w:spacing w:after="120"/>
      </w:pPr>
      <w:r>
        <w:t xml:space="preserve"/>
      </w:r>
    </w:p>
    <w:p>
      <w:pPr>
        <w:spacing w:before="200" w:after="200"/>
        <w:jc w:val="center"/>
      </w:pPr>
      <w:r>
        <w:rPr>
          <w:rFonts w:ascii="Calibri" w:cs="Calibri" w:eastAsia="Calibri" w:hAnsi="Calibri"/>
          <w:b/>
          <w:bCs/>
          <w:color w:val="1E3A5F"/>
          <w:sz w:val="24"/>
          <w:szCs w:val="24"/>
        </w:rPr>
        <w:t xml:space="preserve">END OF DOCUMENT</w:t>
      </w:r>
    </w:p>
    <w:p>
      <w:pPr>
        <w:jc w:val="center"/>
      </w:pPr>
      <w:r>
        <w:rPr>
          <w:rFonts w:ascii="Calibri" w:cs="Calibri" w:eastAsia="Calibri" w:hAnsi="Calibri"/>
          <w:color w:val="555555"/>
          <w:sz w:val="20"/>
          <w:szCs w:val="20"/>
        </w:rPr>
        <w:t xml:space="preserve">Prepared in accordance with enterprise architecture standards for academic assessment and executive approval</w:t>
      </w:r>
    </w:p>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360"/>
      </w:tabs>
      <w:spacing w:before="80"/>
    </w:pPr>
    <w:r>
      <w:rPr>
        <w:rFonts w:ascii="Calibri" w:cs="Calibri" w:eastAsia="Calibri" w:hAnsi="Calibri"/>
        <w:color w:val="555555"/>
        <w:sz w:val="16"/>
        <w:szCs w:val="16"/>
      </w:rPr>
      <w:t xml:space="preserve">Enterprise Data Architecture  |  Analytics Strategy  |  February 2026</w:t>
    </w:r>
    <w:r>
      <w:rPr>
        <w:sz w:val="16"/>
        <w:szCs w:val="16"/>
      </w:rPr>
      <w:t xml:space="preserve">	</w:t>
    </w:r>
    <w:r>
      <w:rPr>
        <w:rFonts w:ascii="Calibri" w:cs="Calibri" w:eastAsia="Calibri" w:hAnsi="Calibri"/>
        <w:color w:val="555555"/>
        <w:sz w:val="16"/>
        <w:szCs w:val="16"/>
      </w:rPr>
      <w:t xml:space="preserve">Senior Enterprise Data Architect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pBdr>
      <w:spacing w:after="60"/>
    </w:pPr>
    <w:r>
      <w:rPr>
        <w:rFonts w:ascii="Calibri" w:cs="Calibri" w:eastAsia="Calibri" w:hAnsi="Calibri"/>
        <w:b/>
        <w:bCs/>
        <w:color w:val="555555"/>
        <w:sz w:val="18"/>
        <w:szCs w:val="18"/>
      </w:rPr>
      <w:t xml:space="preserve">ENTERPRISE DATA STRATEGY — PRIVATE HIGHER EDUCATION INSTITUTION</w:t>
    </w:r>
    <w:r>
      <w:rPr>
        <w:rFonts w:ascii="Calibri" w:cs="Calibri" w:eastAsia="Calibri" w:hAnsi="Calibri"/>
        <w:color w:val="2E75B6"/>
        <w:sz w:val="16"/>
        <w:szCs w:val="16"/>
      </w:rPr>
      <w:t xml:space="preserve">   |   CONFIDENTIAL — OMIS 407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Calibri" w:cs="Calibri" w:eastAsia="Calibri" w:hAnsi="Calibri"/>
      <w:b/>
      <w:bCs/>
      <w:color w:val="1E3A5F"/>
      <w:sz w:val="34"/>
      <w:szCs w:val="34"/>
    </w:rPr>
  </w:style>
  <w:style w:type="paragraph" w:styleId="Heading2">
    <w:name w:val="Heading 2"/>
    <w:basedOn w:val="Normal"/>
    <w:next w:val="Normal"/>
    <w:qFormat/>
    <w:pPr>
      <w:spacing w:before="360" w:after="160"/>
      <w:outlineLvl w:val="1"/>
    </w:pPr>
    <w:rPr>
      <w:rFonts w:ascii="Calibri" w:cs="Calibri" w:eastAsia="Calibri" w:hAnsi="Calibri"/>
      <w:b/>
      <w:bCs/>
      <w:color w:val="2E75B6"/>
      <w:sz w:val="28"/>
      <w:szCs w:val="28"/>
    </w:rPr>
  </w:style>
  <w:style w:type="paragraph" w:styleId="Heading3">
    <w:name w:val="Heading 3"/>
    <w:basedOn w:val="Normal"/>
    <w:next w:val="Normal"/>
    <w:qFormat/>
    <w:pPr>
      <w:spacing w:before="280" w:after="120"/>
      <w:outlineLvl w:val="2"/>
    </w:pPr>
    <w:rPr>
      <w:rFonts w:ascii="Calibri" w:cs="Calibri" w:eastAsia="Calibri" w:hAnsi="Calibri"/>
      <w:b/>
      <w:bCs/>
      <w:color w:val="0D6E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2026-02-26T14:49:43.706Z</dcterms:created>
  <dcterms:modified xsi:type="dcterms:W3CDTF">2026-02-26T14:49:43.706Z</dcterms:modified>
</cp:coreProperties>
</file>

<file path=docProps/custom.xml><?xml version="1.0" encoding="utf-8"?>
<Properties xmlns="http://schemas.openxmlformats.org/officeDocument/2006/custom-properties" xmlns:vt="http://schemas.openxmlformats.org/officeDocument/2006/docPropsVTypes"/>
</file>