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color w:val="0B5C3A"/>
          <w:sz w:val="24"/>
        </w:rPr>
        <w:t>TARLAC STATE UNIVERSITY</w:t>
      </w:r>
    </w:p>
    <w:p>
      <w:pPr>
        <w:spacing w:after="0"/>
        <w:jc w:val="center"/>
      </w:pPr>
      <w:r>
        <w:rPr>
          <w:rFonts w:ascii="Times New Roman" w:hAnsi="Times New Roman" w:eastAsia="Times New Roman"/>
          <w:b/>
          <w:color w:val="0B5C3A"/>
          <w:sz w:val="22"/>
        </w:rPr>
        <w:t>COLLEGE OF COMPUTER STUDIES</w:t>
      </w:r>
    </w:p>
    <w:p>
      <w:pPr>
        <w:spacing w:before="120" w:after="0"/>
        <w:jc w:val="center"/>
      </w:pPr>
      <w:r>
        <w:rPr>
          <w:rFonts w:ascii="Times New Roman" w:hAnsi="Times New Roman" w:eastAsia="Times New Roman"/>
          <w:b/>
          <w:color w:val="1A1A1A"/>
          <w:sz w:val="28"/>
        </w:rPr>
        <w:t>TCP FORM 4  (Rev. 2)</w:t>
      </w:r>
    </w:p>
    <w:p>
      <w:pPr>
        <w:spacing w:after="40"/>
        <w:jc w:val="center"/>
      </w:pPr>
      <w:r>
        <w:rPr>
          <w:rFonts w:ascii="Times New Roman" w:hAnsi="Times New Roman" w:eastAsia="Times New Roman"/>
          <w:b/>
          <w:color w:val="1A1A1A"/>
          <w:sz w:val="26"/>
        </w:rPr>
        <w:t>PROGRESS REPORT</w:t>
      </w:r>
    </w:p>
    <w:p>
      <w:pPr>
        <w:spacing w:after="160"/>
        <w:jc w:val="center"/>
      </w:pPr>
      <w:r>
        <w:rPr>
          <w:rFonts w:ascii="Times New Roman" w:hAnsi="Times New Roman" w:eastAsia="Times New Roman"/>
          <w:b w:val="0"/>
          <w:color w:val="444444"/>
          <w:sz w:val="20"/>
        </w:rPr>
        <w:t>Academic Year 2025–2026  ·  Second Semester</w:t>
      </w:r>
    </w:p>
    <w:p>
      <w:pPr>
        <w:spacing w:after="0"/>
        <w:jc w:val="center"/>
      </w:pPr>
      <w:r>
        <w:rPr>
          <w:rFonts w:ascii="Times New Roman" w:hAnsi="Times New Roman" w:eastAsia="Times New Roman"/>
          <w:b/>
          <w:color w:val="1A1A1A"/>
          <w:sz w:val="24"/>
        </w:rPr>
        <w:t>KWINNO L. PINEDA</w:t>
      </w:r>
    </w:p>
    <w:p>
      <w:pPr>
        <w:spacing w:after="200"/>
        <w:jc w:val="center"/>
      </w:pPr>
      <w:r>
        <w:rPr>
          <w:rFonts w:ascii="Times New Roman" w:hAnsi="Times New Roman" w:eastAsia="Times New Roman"/>
          <w:b w:val="0"/>
          <w:color w:val="444444"/>
          <w:sz w:val="20"/>
        </w:rPr>
        <w:t>(TECHNICAL ADVISER)</w:t>
      </w:r>
    </w:p>
    <w:tbl>
      <w:tblPr>
        <w:tblW w:type="auto" w:w="0"/>
        <w:tblLayout w:type="autofit"/>
        <w:tblLook w:firstColumn="1" w:firstRow="1" w:lastColumn="0" w:lastRow="0" w:noHBand="0" w:noVBand="1" w:val="04A0"/>
      </w:tblPr>
      <w:tblGrid>
        <w:gridCol w:w="5270"/>
        <w:gridCol w:w="5270"/>
      </w:tblGrid>
      <w:tr>
        <w:tc>
          <w:tcPr>
            <w:tcW w:type="dxa" w:w="2041"/>
            <w:shd w:fill="E8F0EC" w:val="clear"/>
          </w:tcPr>
          <w:p>
            <w:pPr>
              <w:spacing w:before="20" w:after="20" w:line="252" w:lineRule="auto"/>
            </w:pPr>
            <w:r/>
            <w:r>
              <w:rPr>
                <w:rFonts w:ascii="Times New Roman" w:hAnsi="Times New Roman" w:eastAsia="Times New Roman"/>
                <w:b/>
                <w:color w:val="1A1A1A"/>
                <w:sz w:val="18"/>
              </w:rPr>
              <w:t>Project title</w:t>
            </w:r>
          </w:p>
        </w:tc>
        <w:tc>
          <w:tcPr>
            <w:tcW w:type="dxa" w:w="8050"/>
          </w:tcPr>
          <w:p>
            <w:pPr>
              <w:spacing w:before="20" w:after="20" w:line="252" w:lineRule="auto"/>
            </w:pPr>
            <w:r/>
            <w:r>
              <w:rPr>
                <w:rFonts w:ascii="Times New Roman" w:hAnsi="Times New Roman" w:eastAsia="Times New Roman"/>
                <w:b w:val="0"/>
                <w:color w:val="1A1A1A"/>
                <w:sz w:val="18"/>
              </w:rPr>
              <w:t>PharmaLocate: A Web-Based Pharmacy Inquiry System with Geofencing for Real-Time Drug Availability, Sale &amp; Inventory Checking</w:t>
            </w:r>
          </w:p>
        </w:tc>
      </w:tr>
      <w:tr>
        <w:tc>
          <w:tcPr>
            <w:tcW w:type="dxa" w:w="2041"/>
            <w:shd w:fill="E8F0EC" w:val="clear"/>
          </w:tcPr>
          <w:p>
            <w:pPr>
              <w:spacing w:before="20" w:after="20" w:line="252" w:lineRule="auto"/>
            </w:pPr>
            <w:r/>
            <w:r>
              <w:rPr>
                <w:rFonts w:ascii="Times New Roman" w:hAnsi="Times New Roman" w:eastAsia="Times New Roman"/>
                <w:b/>
                <w:color w:val="1A1A1A"/>
                <w:sz w:val="18"/>
              </w:rPr>
              <w:t>Proponents</w:t>
            </w:r>
          </w:p>
        </w:tc>
        <w:tc>
          <w:tcPr>
            <w:tcW w:type="dxa" w:w="8050"/>
          </w:tcPr>
          <w:p>
            <w:pPr>
              <w:spacing w:before="20" w:after="20" w:line="252" w:lineRule="auto"/>
            </w:pPr>
            <w:r/>
            <w:r>
              <w:rPr>
                <w:rFonts w:ascii="Times New Roman" w:hAnsi="Times New Roman" w:eastAsia="Times New Roman"/>
                <w:b w:val="0"/>
                <w:color w:val="1A1A1A"/>
                <w:sz w:val="18"/>
              </w:rPr>
              <w:t>Chua, Calvin O.; Aurelio, Lester C.; Mercado, Arji Chesner G.; Lacanlale, Nathalie Angel C.</w:t>
            </w:r>
          </w:p>
        </w:tc>
      </w:tr>
      <w:tr>
        <w:tc>
          <w:tcPr>
            <w:tcW w:type="dxa" w:w="2041"/>
            <w:shd w:fill="E8F0EC" w:val="clear"/>
          </w:tcPr>
          <w:p>
            <w:pPr>
              <w:spacing w:before="20" w:after="20" w:line="252" w:lineRule="auto"/>
            </w:pPr>
            <w:r/>
            <w:r>
              <w:rPr>
                <w:rFonts w:ascii="Times New Roman" w:hAnsi="Times New Roman" w:eastAsia="Times New Roman"/>
                <w:b/>
                <w:color w:val="1A1A1A"/>
                <w:sz w:val="18"/>
              </w:rPr>
              <w:t>Period covered</w:t>
            </w:r>
          </w:p>
        </w:tc>
        <w:tc>
          <w:tcPr>
            <w:tcW w:type="dxa" w:w="8050"/>
          </w:tcPr>
          <w:p>
            <w:pPr>
              <w:spacing w:before="20" w:after="20" w:line="252" w:lineRule="auto"/>
            </w:pPr>
            <w:r/>
            <w:r>
              <w:rPr>
                <w:rFonts w:ascii="Times New Roman" w:hAnsi="Times New Roman" w:eastAsia="Times New Roman"/>
                <w:b w:val="0"/>
                <w:color w:val="1A1A1A"/>
                <w:sz w:val="18"/>
              </w:rPr>
              <w:t>July 2026 – 1 October 2026</w:t>
            </w:r>
          </w:p>
        </w:tc>
      </w:tr>
      <w:tr>
        <w:tc>
          <w:tcPr>
            <w:tcW w:type="dxa" w:w="2041"/>
            <w:shd w:fill="E8F0EC" w:val="clear"/>
          </w:tcPr>
          <w:p>
            <w:pPr>
              <w:spacing w:before="20" w:after="20" w:line="252" w:lineRule="auto"/>
            </w:pPr>
            <w:r/>
            <w:r>
              <w:rPr>
                <w:rFonts w:ascii="Times New Roman" w:hAnsi="Times New Roman" w:eastAsia="Times New Roman"/>
                <w:b/>
                <w:color w:val="1A1A1A"/>
                <w:sz w:val="18"/>
              </w:rPr>
              <w:t>Workspace</w:t>
            </w:r>
          </w:p>
        </w:tc>
        <w:tc>
          <w:tcPr>
            <w:tcW w:type="dxa" w:w="8050"/>
          </w:tcPr>
          <w:p>
            <w:pPr>
              <w:spacing w:before="20" w:after="20" w:line="252" w:lineRule="auto"/>
            </w:pPr>
            <w:r/>
            <w:r>
              <w:rPr>
                <w:rFonts w:ascii="Times New Roman" w:hAnsi="Times New Roman" w:eastAsia="Times New Roman"/>
                <w:b w:val="0"/>
                <w:color w:val="1A1A1A"/>
                <w:sz w:val="18"/>
              </w:rPr>
              <w:t>Programming4 (Laravel 13 + 3-file frontend + MySQL)</w:t>
            </w:r>
          </w:p>
        </w:tc>
      </w:tr>
      <w:tr>
        <w:tc>
          <w:tcPr>
            <w:tcW w:type="dxa" w:w="2041"/>
            <w:shd w:fill="E8F0EC" w:val="clear"/>
          </w:tcPr>
          <w:p>
            <w:pPr>
              <w:spacing w:before="20" w:after="20" w:line="252" w:lineRule="auto"/>
            </w:pPr>
            <w:r/>
            <w:r>
              <w:rPr>
                <w:rFonts w:ascii="Times New Roman" w:hAnsi="Times New Roman" w:eastAsia="Times New Roman"/>
                <w:b/>
                <w:color w:val="1A1A1A"/>
                <w:sz w:val="18"/>
              </w:rPr>
              <w:t>Purpose of this form</w:t>
            </w:r>
          </w:p>
        </w:tc>
        <w:tc>
          <w:tcPr>
            <w:tcW w:type="dxa" w:w="8050"/>
          </w:tcPr>
          <w:p>
            <w:pPr>
              <w:spacing w:before="20" w:after="20" w:line="252" w:lineRule="auto"/>
            </w:pPr>
            <w:r/>
            <w:r>
              <w:rPr>
                <w:rFonts w:ascii="Times New Roman" w:hAnsi="Times New Roman" w:eastAsia="Times New Roman"/>
                <w:b w:val="0"/>
                <w:color w:val="1A1A1A"/>
                <w:sz w:val="18"/>
              </w:rPr>
              <w:t>Record of technical-adviser consultations: section of the study, recommendation given, and status in the current system or manuscript.</w:t>
            </w:r>
          </w:p>
        </w:tc>
      </w:tr>
    </w:tbl>
    <w:p/>
    <w:p>
      <w:r>
        <w:rPr>
          <w:rFonts w:ascii="Times New Roman" w:hAnsi="Times New Roman" w:eastAsia="Times New Roman"/>
          <w:b w:val="0"/>
          <w:color w:val="444444"/>
          <w:sz w:val="18"/>
        </w:rPr>
        <w:t>Instructions: DATE is the consultation when the recommendation was given. SECTION / PART is the chapter or component. RECOMMENDATIONS are the adviser’s instructions. STATUS is how the team complied as of 1 October 2026. SIGNATURE is left blank for the technical adviser.</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1247"/>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DATE</w:t>
            </w:r>
          </w:p>
        </w:tc>
        <w:tc>
          <w:tcPr>
            <w:tcW w:type="dxa" w:w="1814"/>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SECTION / PART</w:t>
            </w:r>
          </w:p>
        </w:tc>
        <w:tc>
          <w:tcPr>
            <w:tcW w:type="dxa" w:w="2835"/>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RECOMMENDATIONS</w:t>
            </w:r>
          </w:p>
        </w:tc>
        <w:tc>
          <w:tcPr>
            <w:tcW w:type="dxa" w:w="3061"/>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STATUS / COMPLIANCE (team)</w:t>
            </w:r>
          </w:p>
        </w:tc>
        <w:tc>
          <w:tcPr>
            <w:tcW w:type="dxa" w:w="1134"/>
            <w:shd w:fill="0B5C3A"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FFFFFF"/>
                <w:sz w:val="16"/>
              </w:rPr>
              <w:t>SIGNATURE</w:t>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Title</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Include POS in the title. Recommended wording: A Web-Based Pharmacy Inquiry System with Geofencing for Real-Time Drug Availability, Sale &amp; Inventory Checking.</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in the live UI (browser title, navbar, login subtitle) and for the manuscript title page. POS is a named module (sales + inventory).</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1 Project Context</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Make the problem more powerful and connect it to the SDGs.</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For the manuscript: strengthen access-to-medicines / SDG 3 wording. System already operationalizes access via live availability and locator around TPH.</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1 Introduction</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The introduction is too long; shorten it while keeping vital information.</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For the manuscript: compress Chapter 1. UI uses a short product subtitle instead of the long former tagline.</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1 Purpose / Scope</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Add the scope. Do not include pharmacies inside Tarlac Provincial Hospital (TPH).</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in the system: Home scope banner; public GET /api/pharmacies and /api/availability hide inside_tph stores; admin checkbox “Inside TPH.” Seeded SpaRx and Magic 8 are community pharmacies around TPH. Run php artisan migrate for the column.</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1 Objectives (1.3)</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Revise Objective 2 to proper format. Include inventory management in 1.3.</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in the system: Admin sidebar “Inventory management” and “POS — sales.” Align the same labels in manuscript 1.3.</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1 Scope &amp; Limitation</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Present White Box Testing in table form, with parameters broken down.</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Test IDs WB-01–WB-12 are tabulated in Documentation_v1.3.md §40 and executed in PHPUnit (Sprint7WhiteBoxTest). Copy that table into Chapter 1 as required.</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2 Local literature</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Remove the researchers’ own study from the local literature (LLM).</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Manuscript only: delete self-citation from Chapter 2 LLM.</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2 Conceptual framework</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Revise the conceptual framework to proper IPOO formatting.</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Manuscript figure: Input–Process–Output–Outcome. Live mapping: user/device → Laravel API + geofence/POS logic → MySQL → UI (availability, tickets, sales).</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Jul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2 Definition of terms</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Add definitions of the system features.</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Define terms to match live labels: Inquiries, Pharmacies/geofence locator, Medicines/availability, Inventory management, POS—sales, Geofences, Users, Help assistant.</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3 Architecture</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Block-diagram system architecture; make it per icon.</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Manuscript figure with one icon per block. Running stack to label: Browser → HTML/CSS/JS → Laravel 13 → MySQL; optional Tile38; Leaflet/OSM map.</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3 Sources of data</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Connect sources of data to the objectives.</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Manuscript table: SpaRx and Magic 8 (seeded/participating stores) mapped to 1.3 (availability, inquiry, geofence, inventory/POS).</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4 SDLC</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Add a backlog to the development.</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PharmaLocate_Sprint_Documentation.docx (Steps 1–8 backlog) and PharmaLocate_Progress_Report.docx.</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Aug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Ch. 4 Storyboard</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Add the desktop view. Show all features.</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in the system at desktop width: Guest Home/Pharmacies/Medicines/Inquiries/Help; Auth; Admin dashboard, inquiries, inventory, POS, pharmacies, geofences, users, settings, backup. Paper should caption desktop storyboard figures.</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Sep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References / figures</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Remove the border in the references. Add a figure name for each figure.</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Manuscript formatting: unboxed references; Figure x.x Title on every diagram and screenshot.</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Sep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Geofencing</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Specify the parameter of the geofencing.</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Pharmacies tab “Geofencing parameters” card — circular (haversine), default center TPH 15.4870, 120.5960, default radius 5,000 m, admin range 500–10,000 m. Admin Geofences form repeats the same limits. TPH-internal pharmacies excluded.</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Sep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Users / priority groups</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Make it general instead of focusing on senior citizens, pregnant women, PWDs, etc.</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priority_type / is_priority removed (July 2026). Home and Help copy say all users. Inquiries ordered by date, not by special group. Roles remain customer, staff, admin.</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Sep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Devices</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Consider the concept of the devices.</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Complied: viewport meta; desktop-first layout; stacks at ≤800 px; Home pill “Desktop &amp; mobile browsers.” Ordinary Chrome/Edge; no kiosk-only UI.</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Oct 2026</w:t>
            </w:r>
          </w:p>
        </w:tc>
        <w:tc>
          <w:tcPr>
            <w:tcW w:type="dxa" w:w="1814"/>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Respondents</w:t>
            </w:r>
          </w:p>
        </w:tc>
        <w:tc>
          <w:tcPr>
            <w:tcW w:type="dxa" w:w="2835"/>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Break down respondents in a table. Interviews at the pharmacies mentioned. Insert evaluation-rating table.</w:t>
            </w:r>
          </w:p>
        </w:tc>
        <w:tc>
          <w:tcPr>
            <w:tcW w:type="dxa" w:w="3061"/>
            <w:shd w:fill="F3F7F5" w:val="clear"/>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Field + manuscript: interview SpaRx and Magic 8 on-site; tabulate who / how many / role; insert Likert/evaluation table (may map to ISO/IEC 25010 in Documentation v1.3).</w:t>
            </w:r>
          </w:p>
        </w:tc>
        <w:tc>
          <w:tcPr>
            <w:tcW w:type="dxa" w:w="1134"/>
            <w:shd w:fill="F3F7F5" w:val="clear"/>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r>
        <w:trPr>
          <w:cantSplit/>
        </w:trPr>
        <w:tc>
          <w:tcPr>
            <w:tcW w:type="dxa" w:w="1247"/>
            <w:tcMar>
              <w:top w:w="40" w:type="dxa"/>
              <w:bottom w:w="40" w:type="dxa"/>
              <w:left w:w="50" w:type="dxa"/>
              <w:right w:w="50" w:type="dxa"/>
            </w:tcMar>
          </w:tcPr>
          <w:p>
            <w:pPr>
              <w:spacing w:before="20" w:after="20" w:line="252" w:lineRule="auto"/>
              <w:jc w:val="center"/>
            </w:pPr>
            <w:r/>
            <w:r>
              <w:rPr>
                <w:rFonts w:ascii="Times New Roman" w:hAnsi="Times New Roman" w:eastAsia="Times New Roman"/>
                <w:b/>
                <w:color w:val="1A1A1A"/>
                <w:sz w:val="16"/>
              </w:rPr>
              <w:t>Oct 2026</w:t>
            </w:r>
          </w:p>
        </w:tc>
        <w:tc>
          <w:tcPr>
            <w:tcW w:type="dxa" w:w="1814"/>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System close-out (adviser check)</w:t>
            </w:r>
          </w:p>
        </w:tc>
        <w:tc>
          <w:tcPr>
            <w:tcW w:type="dxa" w:w="2835"/>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Verify that recommended features exist in the running prototype before pre-defense.</w:t>
            </w:r>
          </w:p>
        </w:tc>
        <w:tc>
          <w:tcPr>
            <w:tcW w:type="dxa" w:w="3061"/>
            <w:tcMar>
              <w:top w:w="40" w:type="dxa"/>
              <w:bottom w:w="40" w:type="dxa"/>
              <w:left w:w="50" w:type="dxa"/>
              <w:right w:w="50" w:type="dxa"/>
            </w:tcMar>
          </w:tcPr>
          <w:p>
            <w:pPr>
              <w:spacing w:before="20" w:after="20" w:line="252" w:lineRule="auto"/>
            </w:pPr>
            <w:r/>
            <w:r>
              <w:rPr>
                <w:rFonts w:ascii="Times New Roman" w:hAnsi="Times New Roman" w:eastAsia="Times New Roman"/>
                <w:b w:val="0"/>
                <w:color w:val="1A1A1A"/>
                <w:sz w:val="16"/>
              </w:rPr>
              <w:t>Live at http://127.0.0.1:8000. Demo: maria / admin / sparx_staff (password). PHPUnit Sprint 7: 29/29; TPH-exclusion test passed. Remaining: binder screenshots; validated Help FAQs; manuscript tables/figures listed above.</w:t>
            </w:r>
          </w:p>
        </w:tc>
        <w:tc>
          <w:tcPr>
            <w:tcW w:type="dxa" w:w="1134"/>
            <w:tcMar>
              <w:top w:w="40" w:type="dxa"/>
              <w:bottom w:w="40" w:type="dxa"/>
              <w:left w:w="50" w:type="dxa"/>
              <w:right w:w="50" w:type="dxa"/>
            </w:tcMar>
          </w:tcPr>
          <w:p>
            <w:pPr>
              <w:spacing w:before="20" w:after="20" w:line="252" w:lineRule="auto"/>
              <w:jc w:val="center"/>
            </w:pPr>
            <w:r/>
            <w:r>
              <w:rPr>
                <w:rFonts w:ascii="Times New Roman" w:hAnsi="Times New Roman" w:eastAsia="Times New Roman"/>
                <w:b w:val="0"/>
                <w:color w:val="1A1A1A"/>
                <w:sz w:val="16"/>
              </w:rPr>
            </w:r>
          </w:p>
        </w:tc>
      </w:tr>
    </w:tbl>
    <w:p/>
    <w:p>
      <w:r>
        <w:rPr>
          <w:rFonts w:ascii="Times New Roman" w:hAnsi="Times New Roman" w:eastAsia="Times New Roman"/>
          <w:b w:val="0"/>
          <w:color w:val="1A1A1A"/>
          <w:sz w:val="18"/>
        </w:rPr>
        <w:t>Overall technical-adviser finding as of 1 October 2026: Product implementation (inquiry, geofencing, inventory, POS) is complete for the agreed prototype scope. Manuscript items (SDG wording, short intro, IPOO figure, LLM cleanup, respondent tables, figure captions) remain for the paper. The technical adviser may sign the last column after verifying the live demo.</w:t>
      </w:r>
    </w:p>
    <w:p>
      <w:r>
        <w:rPr>
          <w:rFonts w:ascii="Times New Roman" w:hAnsi="Times New Roman" w:eastAsia="Times New Roman"/>
          <w:b w:val="0"/>
          <w:color w:val="1A1A1A"/>
          <w:sz w:val="20"/>
        </w:rPr>
        <w:t>Prepared by the proponents:</w:t>
        <w:tab/>
        <w:tab/>
        <w:tab/>
        <w:t>Noted:</w:t>
      </w:r>
    </w:p>
    <w:tbl>
      <w:tblPr>
        <w:tblW w:type="auto" w:w="0"/>
        <w:tblLook w:firstColumn="1" w:firstRow="1" w:lastColumn="0" w:lastRow="0" w:noHBand="0" w:noVBand="1" w:val="04A0"/>
      </w:tblPr>
      <w:tblGrid>
        <w:gridCol w:w="5270"/>
        <w:gridCol w:w="5270"/>
      </w:tblGrid>
      <w:tr>
        <w:tc>
          <w:tcPr>
            <w:tcW w:type="dxa" w:w="5270"/>
          </w:tcPr>
          <w:p>
            <w:pPr>
              <w:spacing w:before="20" w:after="20" w:line="252" w:lineRule="auto"/>
              <w:jc w:val="center"/>
            </w:pPr>
            <w:r/>
            <w:r>
              <w:rPr>
                <w:rFonts w:ascii="Times New Roman" w:hAnsi="Times New Roman" w:eastAsia="Times New Roman"/>
                <w:b w:val="0"/>
                <w:color w:val="1A1A1A"/>
                <w:sz w:val="20"/>
              </w:rPr>
              <w:br/>
              <w:br/>
              <w:t>______________________________</w:t>
            </w:r>
          </w:p>
        </w:tc>
        <w:tc>
          <w:tcPr>
            <w:tcW w:type="dxa" w:w="5270"/>
          </w:tcPr>
          <w:p>
            <w:pPr>
              <w:spacing w:before="20" w:after="20" w:line="252" w:lineRule="auto"/>
              <w:jc w:val="center"/>
            </w:pPr>
            <w:r/>
            <w:r>
              <w:rPr>
                <w:rFonts w:ascii="Times New Roman" w:hAnsi="Times New Roman" w:eastAsia="Times New Roman"/>
                <w:b w:val="0"/>
                <w:color w:val="1A1A1A"/>
                <w:sz w:val="20"/>
              </w:rPr>
              <w:br/>
              <w:br/>
              <w:t>______________________________</w:t>
            </w:r>
          </w:p>
        </w:tc>
      </w:tr>
      <w:tr>
        <w:tc>
          <w:tcPr>
            <w:tcW w:type="dxa" w:w="5270"/>
          </w:tcPr>
          <w:p>
            <w:pPr>
              <w:spacing w:before="20" w:after="20" w:line="252" w:lineRule="auto"/>
              <w:jc w:val="center"/>
            </w:pPr>
            <w:r/>
            <w:r>
              <w:rPr>
                <w:rFonts w:ascii="Times New Roman" w:hAnsi="Times New Roman" w:eastAsia="Times New Roman"/>
                <w:b/>
                <w:color w:val="1A1A1A"/>
                <w:sz w:val="18"/>
              </w:rPr>
              <w:t>Chua, Aurelio, Mercado, Lacanlale</w:t>
            </w:r>
          </w:p>
        </w:tc>
        <w:tc>
          <w:tcPr>
            <w:tcW w:type="dxa" w:w="5270"/>
          </w:tcPr>
          <w:p>
            <w:pPr>
              <w:spacing w:before="20" w:after="20" w:line="252" w:lineRule="auto"/>
              <w:jc w:val="center"/>
            </w:pPr>
            <w:r/>
            <w:r>
              <w:rPr>
                <w:rFonts w:ascii="Times New Roman" w:hAnsi="Times New Roman" w:eastAsia="Times New Roman"/>
                <w:b/>
                <w:color w:val="1A1A1A"/>
                <w:sz w:val="18"/>
              </w:rPr>
              <w:t>Kwinno L. Pineda</w:t>
            </w:r>
          </w:p>
        </w:tc>
      </w:tr>
      <w:tr>
        <w:tc>
          <w:tcPr>
            <w:tcW w:type="dxa" w:w="5270"/>
          </w:tcPr>
          <w:p>
            <w:pPr>
              <w:spacing w:before="20" w:after="20" w:line="252" w:lineRule="auto"/>
              <w:jc w:val="center"/>
            </w:pPr>
            <w:r/>
            <w:r>
              <w:rPr>
                <w:rFonts w:ascii="Times New Roman" w:hAnsi="Times New Roman" w:eastAsia="Times New Roman"/>
                <w:b w:val="0"/>
                <w:color w:val="444444"/>
                <w:sz w:val="16"/>
              </w:rPr>
              <w:t>Proponents / researchers</w:t>
            </w:r>
          </w:p>
        </w:tc>
        <w:tc>
          <w:tcPr>
            <w:tcW w:type="dxa" w:w="5270"/>
          </w:tcPr>
          <w:p>
            <w:pPr>
              <w:spacing w:before="20" w:after="20" w:line="252" w:lineRule="auto"/>
              <w:jc w:val="center"/>
            </w:pPr>
            <w:r/>
            <w:r>
              <w:rPr>
                <w:rFonts w:ascii="Times New Roman" w:hAnsi="Times New Roman" w:eastAsia="Times New Roman"/>
                <w:b w:val="0"/>
                <w:color w:val="444444"/>
                <w:sz w:val="16"/>
              </w:rPr>
              <w:t>Technical Adviser</w:t>
            </w:r>
          </w:p>
        </w:tc>
      </w:tr>
    </w:tbl>
    <w:p>
      <w:pPr>
        <w:jc w:val="center"/>
      </w:pPr>
      <w:r>
        <w:rPr>
          <w:rFonts w:ascii="Times New Roman" w:hAnsi="Times New Roman" w:eastAsia="Times New Roman"/>
          <w:b w:val="0"/>
          <w:color w:val="444444"/>
          <w:sz w:val="16"/>
        </w:rPr>
        <w:t xml:space="preserve">Form No.: TSU-CCS-SF-15     TCP Form 4 Rev. 2     Revision No.: 02     Effectivity Date: September 01, 2017     Page  </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