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eastAsia="Times New Roman"/>
          <w:b/>
          <w:color w:val="1A1A1A"/>
          <w:sz w:val="28"/>
        </w:rPr>
        <w:t>TARLAC STATE UNIVERSITY</w:t>
      </w:r>
    </w:p>
    <w:p>
      <w:pPr>
        <w:spacing w:after="0" w:before="0"/>
        <w:jc w:val="center"/>
      </w:pPr>
      <w:r>
        <w:rPr>
          <w:rFonts w:ascii="Times New Roman" w:hAnsi="Times New Roman" w:eastAsia="Times New Roman"/>
          <w:b/>
          <w:color w:val="1A1A1A"/>
          <w:sz w:val="24"/>
        </w:rPr>
        <w:t>COLLEGE OF COMPUTER STUDIES</w:t>
      </w:r>
    </w:p>
    <w:p>
      <w:pPr>
        <w:spacing w:after="0" w:before="0"/>
        <w:jc w:val="center"/>
      </w:pPr>
      <w:r>
        <w:rPr>
          <w:rFonts w:ascii="Times New Roman" w:hAnsi="Times New Roman" w:eastAsia="Times New Roman"/>
          <w:b/>
          <w:color w:val="1A1A1A"/>
          <w:sz w:val="22"/>
        </w:rPr>
        <w:t>TCP FORM 5  (Rev. 2)</w:t>
      </w:r>
    </w:p>
    <w:p>
      <w:pPr>
        <w:spacing w:after="0" w:before="0"/>
        <w:jc w:val="center"/>
      </w:pPr>
      <w:r>
        <w:rPr>
          <w:rFonts w:ascii="Times New Roman" w:hAnsi="Times New Roman" w:eastAsia="Times New Roman"/>
          <w:b/>
          <w:color w:val="0F6E56"/>
          <w:sz w:val="32"/>
        </w:rPr>
        <w:t>PROGRESS REPORT</w:t>
      </w:r>
    </w:p>
    <w:p>
      <w:pPr>
        <w:jc w:val="center"/>
      </w:pPr>
      <w:r>
        <w:rPr>
          <w:rFonts w:ascii="Times New Roman" w:hAnsi="Times New Roman" w:eastAsia="Times New Roman"/>
          <w:b w:val="0"/>
          <w:color w:val="444444"/>
          <w:sz w:val="20"/>
        </w:rPr>
        <w:t>Academic Year 2025–2026  ·  Second Semester</w:t>
      </w:r>
    </w:p>
    <w:p>
      <w:pPr>
        <w:jc w:val="center"/>
      </w:pPr>
      <w:r>
        <w:rPr>
          <w:rFonts w:ascii="Times New Roman" w:hAnsi="Times New Roman" w:eastAsia="Times New Roman"/>
          <w:b/>
          <w:color w:val="1A1A1A"/>
          <w:sz w:val="26"/>
        </w:rPr>
        <w:t>DENNIS VIRTUDAZO</w:t>
      </w:r>
    </w:p>
    <w:p>
      <w:pPr>
        <w:jc w:val="center"/>
      </w:pPr>
      <w:r>
        <w:rPr>
          <w:rFonts w:ascii="Times New Roman" w:hAnsi="Times New Roman" w:eastAsia="Times New Roman"/>
          <w:b w:val="0"/>
          <w:color w:val="1A1A1A"/>
          <w:sz w:val="22"/>
        </w:rPr>
        <w:t>(SUBJECT TEACHER)</w:t>
      </w:r>
    </w:p>
    <w:tbl>
      <w:tblPr>
        <w:tblW w:type="auto" w:w="0"/>
        <w:tblLayout w:type="autofit"/>
        <w:tblLook w:firstColumn="1" w:firstRow="1" w:lastColumn="0" w:lastRow="0" w:noHBand="0" w:noVBand="1" w:val="04A0"/>
      </w:tblPr>
      <w:tblGrid>
        <w:gridCol w:w="5213"/>
        <w:gridCol w:w="5213"/>
      </w:tblGrid>
      <w:tr>
        <w:tc>
          <w:tcPr>
            <w:tcW w:type="dxa" w:w="255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color w:val="1A1A1A"/>
                <w:sz w:val="20"/>
              </w:rPr>
              <w:t>Project title</w:t>
            </w:r>
          </w:p>
        </w:tc>
        <w:tc>
          <w:tcPr>
            <w:tcW w:type="dxa" w:w="7087"/>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20"/>
              </w:rPr>
              <w:t>PharmaLocate: A Web-Based Pharmacy Inquiry System with Geofencing for Real-Time Drug Availability, Sale &amp; Inventory Checking</w:t>
            </w:r>
          </w:p>
        </w:tc>
      </w:tr>
      <w:tr>
        <w:tc>
          <w:tcPr>
            <w:tcW w:type="dxa" w:w="255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color w:val="1A1A1A"/>
                <w:sz w:val="20"/>
              </w:rPr>
              <w:t>Proponents</w:t>
            </w:r>
          </w:p>
        </w:tc>
        <w:tc>
          <w:tcPr>
            <w:tcW w:type="dxa" w:w="7087"/>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20"/>
              </w:rPr>
              <w:t>Chua, Calvin O.; Aurelio, Lester C.; Mercado, Arji Chesner G.; Lacanlale, Nathalie Angel C.</w:t>
            </w:r>
          </w:p>
        </w:tc>
      </w:tr>
      <w:tr>
        <w:tc>
          <w:tcPr>
            <w:tcW w:type="dxa" w:w="255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color w:val="1A1A1A"/>
                <w:sz w:val="20"/>
              </w:rPr>
              <w:t>Period covered</w:t>
            </w:r>
          </w:p>
        </w:tc>
        <w:tc>
          <w:tcPr>
            <w:tcW w:type="dxa" w:w="7087"/>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20"/>
              </w:rPr>
              <w:t>July 2026 – 1 October 2026</w:t>
            </w:r>
          </w:p>
        </w:tc>
      </w:tr>
      <w:tr>
        <w:tc>
          <w:tcPr>
            <w:tcW w:type="dxa" w:w="2551"/>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color w:val="1A1A1A"/>
                <w:sz w:val="20"/>
              </w:rPr>
              <w:t>Purpose of this form</w:t>
            </w:r>
          </w:p>
        </w:tc>
        <w:tc>
          <w:tcPr>
            <w:tcW w:type="dxa" w:w="7087"/>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20"/>
              </w:rPr>
              <w:t>Chronological deliverables submitted for subject-teacher monitoring, with the teacher’s recommendation or remark on each slice.</w:t>
            </w:r>
          </w:p>
        </w:tc>
      </w:tr>
    </w:tbl>
    <w:p/>
    <w:p>
      <w:r>
        <w:rPr>
          <w:rFonts w:ascii="Times New Roman" w:hAnsi="Times New Roman" w:eastAsia="Times New Roman"/>
          <w:b w:val="0"/>
          <w:color w:val="444444"/>
          <w:sz w:val="18"/>
        </w:rPr>
        <w:t>DATE is when the slice was presented as done. DELIVERABLE is what the team produced. RECOMMENDATIONS are the subject teacher’s action (accepted, revise, or verify in class). The last column is for the teacher’s signature.</w:t>
      </w:r>
    </w:p>
    <w:tbl>
      <w:tblPr>
        <w:tblW w:type="auto" w:w="0"/>
        <w:jc w:val="center"/>
        <w:tblLook w:firstColumn="1" w:firstRow="1" w:lastColumn="0" w:lastRow="0" w:noHBand="0" w:noVBand="1" w:val="04A0"/>
      </w:tblPr>
      <w:tblGrid>
        <w:gridCol w:w="2606"/>
        <w:gridCol w:w="2606"/>
        <w:gridCol w:w="2606"/>
        <w:gridCol w:w="2606"/>
      </w:tblGrid>
      <w:tr>
        <w:tc>
          <w:tcPr>
            <w:tcW w:type="dxa" w:w="1304"/>
            <w:shd w:fill="1B5E20"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FFFFFF"/>
                <w:sz w:val="18"/>
              </w:rPr>
              <w:t>DATE</w:t>
            </w:r>
          </w:p>
        </w:tc>
        <w:tc>
          <w:tcPr>
            <w:tcW w:type="dxa" w:w="3742"/>
            <w:shd w:fill="1B5E20"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FFFFFF"/>
                <w:sz w:val="18"/>
              </w:rPr>
              <w:t>DELIVERABLE</w:t>
            </w:r>
          </w:p>
        </w:tc>
        <w:tc>
          <w:tcPr>
            <w:tcW w:type="dxa" w:w="3175"/>
            <w:shd w:fill="1B5E20"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FFFFFF"/>
                <w:sz w:val="18"/>
              </w:rPr>
              <w:t>RECOMMENDATIONS (subject teacher)</w:t>
            </w:r>
          </w:p>
        </w:tc>
        <w:tc>
          <w:tcPr>
            <w:tcW w:type="dxa" w:w="1304"/>
            <w:shd w:fill="1B5E20"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FFFFFF"/>
                <w:sz w:val="18"/>
              </w:rPr>
              <w:t>SIGNATURE</w:t>
            </w:r>
          </w:p>
        </w:tc>
      </w:tr>
      <w:tr>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3742"/>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Step 1 — Frontend lock. Three-file UI (HTML/CSS/JS) frozen: Guest, Auth, and Admin screens; 10-medicine demo; tabs and sidebar as the screen contract.</w:t>
            </w:r>
          </w:p>
        </w:tc>
        <w:tc>
          <w:tcPr>
            <w:tcW w:type="dxa" w:w="3175"/>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Accepted as UI lock. Proceed to live API. Do not keep changing layout while connecting the database.</w:t>
            </w:r>
          </w:p>
        </w:tc>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30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3742"/>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Step 2 — Backend map. Screen → functional requirement → API plan; P1–P5 order agreed (customer live data = P1; geofencing = P3; POS = P4; testing = P5).</w:t>
            </w:r>
          </w:p>
        </w:tc>
        <w:tc>
          <w:tcPr>
            <w:tcW w:type="dxa" w:w="3175"/>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Accepted as planning deliverable. Keep geofencing after stock is live.</w:t>
            </w:r>
          </w:p>
        </w:tc>
        <w:tc>
          <w:tcPr>
            <w:tcW w:type="dxa" w:w="130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3742"/>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Step 3 — Live API (P1). Laravel, MySQL, and Sanctum connected to the frozen UI: availability, pharmacies, inquiries. Guests see live stock without an account; customer maria can log in and send inquiries.</w:t>
            </w:r>
          </w:p>
        </w:tc>
        <w:tc>
          <w:tcPr>
            <w:tcW w:type="dxa" w:w="3175"/>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Accepted. Verify on http://127.0.0.1:8000, not the offline HTML demo file.</w:t>
            </w:r>
          </w:p>
        </w:tc>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30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3742"/>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Step 4 — Admin core (P2). Live dashboard, inquiry replies, and stock edits. Staff limited to assigned pharmacy; /api/admin blocked for customers; admin/staff view opens after login. Priority user types (senior, PWD, pregnant, parent) removed; roles admin, staff, customer remain.</w:t>
            </w:r>
          </w:p>
        </w:tc>
        <w:tc>
          <w:tcPr>
            <w:tcW w:type="dxa" w:w="3175"/>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Accepted. Align later with panel instruction to treat users generally. Confirm staff cannot edit another store.</w:t>
            </w:r>
          </w:p>
        </w:tc>
        <w:tc>
          <w:tcPr>
            <w:tcW w:type="dxa" w:w="130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3742"/>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Sprint 5.0 — Baseline verification only (no new code): XAMPP, php artisan serve, login, live tabs before map work.</w:t>
            </w:r>
          </w:p>
        </w:tc>
        <w:tc>
          <w:tcPr>
            <w:tcW w:type="dxa" w:w="3175"/>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Accepted as process checkpoint.</w:t>
            </w:r>
          </w:p>
        </w:tc>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30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3742"/>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Sprint 5.1 — Pharmacy CRUD API and admin form (create, edit, deactivate; GPS and hours).</w:t>
            </w:r>
          </w:p>
        </w:tc>
        <w:tc>
          <w:tcPr>
            <w:tcW w:type="dxa" w:w="3175"/>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Accepted. Profiles must stay community pharmacies around TPH, not inside TPH.</w:t>
            </w:r>
          </w:p>
        </w:tc>
        <w:tc>
          <w:tcPr>
            <w:tcW w:type="dxa" w:w="130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3742"/>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Sprint 5.2 — Geofence API, public zones, seeded Tarlac Provincial Hospital zone (5 km).</w:t>
            </w:r>
          </w:p>
        </w:tc>
        <w:tc>
          <w:tcPr>
            <w:tcW w:type="dxa" w:w="3175"/>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Accepted. Document radius and center for the paper.</w:t>
            </w:r>
          </w:p>
        </w:tc>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30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3742"/>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Sprint 5.3 — Leaflet/OSM customer map replacing SVG; GPS optional with hospital default; CSS overflow fix.</w:t>
            </w:r>
          </w:p>
        </w:tc>
        <w:tc>
          <w:tcPr>
            <w:tcW w:type="dxa" w:w="3175"/>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Accepted. Demo with GPS denied is valid.</w:t>
            </w:r>
          </w:p>
        </w:tc>
        <w:tc>
          <w:tcPr>
            <w:tcW w:type="dxa" w:w="130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Jul 2026</w:t>
            </w:r>
          </w:p>
        </w:tc>
        <w:tc>
          <w:tcPr>
            <w:tcW w:type="dxa" w:w="3742"/>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Sprint 5.4 — Server-side geofence filter (research core): only pharmacies in the containing zone; empty-zone notice.</w:t>
            </w:r>
          </w:p>
        </w:tc>
        <w:tc>
          <w:tcPr>
            <w:tcW w:type="dxa" w:w="3175"/>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Accepted as the geofencing contribution. Do not describe it as “pins only.”</w:t>
            </w:r>
          </w:p>
        </w:tc>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30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Aug 2026</w:t>
            </w:r>
          </w:p>
        </w:tc>
        <w:tc>
          <w:tcPr>
            <w:tcW w:type="dxa" w:w="3742"/>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Sprint 5.5 — Admin geofence UI (create/edit/assign) and admin map reusing existing APIs.</w:t>
            </w:r>
          </w:p>
        </w:tc>
        <w:tc>
          <w:tcPr>
            <w:tcW w:type="dxa" w:w="3175"/>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Accepted.</w:t>
            </w:r>
          </w:p>
        </w:tc>
        <w:tc>
          <w:tcPr>
            <w:tcW w:type="dxa" w:w="130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Aug 2026</w:t>
            </w:r>
          </w:p>
        </w:tc>
        <w:tc>
          <w:tcPr>
            <w:tcW w:type="dxa" w:w="3742"/>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Sprint 5.6 — Optional Tile38 with haversine fallback so class demo works without Redis.</w:t>
            </w:r>
          </w:p>
        </w:tc>
        <w:tc>
          <w:tcPr>
            <w:tcW w:type="dxa" w:w="3175"/>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Accepted. /api/health may show tile38 unavailable.</w:t>
            </w:r>
          </w:p>
        </w:tc>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30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Aug 2026</w:t>
            </w:r>
          </w:p>
        </w:tc>
        <w:tc>
          <w:tcPr>
            <w:tcW w:type="dxa" w:w="3742"/>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Step 6 — POS and extras. POS decrements stock (oversell rejected; admin may choose pharmacy, staff cannot); user management (last admin protected); settings; JSON/CSV export.</w:t>
            </w:r>
          </w:p>
        </w:tc>
        <w:tc>
          <w:tcPr>
            <w:tcW w:type="dxa" w:w="3175"/>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Accepted. Title and 1.3 must name sale and inventory. Show a sale then the Medicines tab.</w:t>
            </w:r>
          </w:p>
        </w:tc>
        <w:tc>
          <w:tcPr>
            <w:tcW w:type="dxa" w:w="130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Aug 2026</w:t>
            </w:r>
          </w:p>
        </w:tc>
        <w:tc>
          <w:tcPr>
            <w:tcW w:type="dxa" w:w="3742"/>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Sprints 7.0–7.4 — ISO/IEC 25010 testing. Plan in Documentation v1.3 (BB, WB, API IDs). PHPUnit 29/29 (August re-run). API-01–API-20 all pass. 62 of 80 mapped cases verified (~78%). Execution report issued.</w:t>
            </w:r>
          </w:p>
        </w:tc>
        <w:tc>
          <w:tcPr>
            <w:tcW w:type="dxa" w:w="3175"/>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Accepted automation. Complete remaining black-box screenshots for the binder before final defense.</w:t>
            </w:r>
          </w:p>
        </w:tc>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30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Sep 2026</w:t>
            </w:r>
          </w:p>
        </w:tc>
        <w:tc>
          <w:tcPr>
            <w:tcW w:type="dxa" w:w="3742"/>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Sprint 8 — Polish and Help. Boot loader, tab motion, deferred GPS. Rule-based Help (no AI), 18 unofficial bilingual presets. Bug fixes: navbar name, fake inquiry samples, Help/Close toggle.</w:t>
            </w:r>
          </w:p>
        </w:tc>
        <w:tc>
          <w:tcPr>
            <w:tcW w:type="dxa" w:w="3175"/>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Accepted as polish. Replace unofficial FAQs when the validated list is ready. Help is not medical advice.</w:t>
            </w:r>
          </w:p>
        </w:tc>
        <w:tc>
          <w:tcPr>
            <w:tcW w:type="dxa" w:w="1304"/>
            <w:shd w:fill="E8F5E9" w:val="clear"/>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r>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t>Oct 2026</w:t>
            </w:r>
          </w:p>
        </w:tc>
        <w:tc>
          <w:tcPr>
            <w:tcW w:type="dxa" w:w="3742"/>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Panel (TCP Form 12) compliance in the running system: recommended title (availability, sale, inventory); TPH-internal pharmacies excluded; geofence parameters on the Pharmacies tab; inventory/POS labels; general-user copy; desktop and mobile layout. Tracker: Panel_Recommendations_Deliverables.docx.</w:t>
            </w:r>
          </w:p>
        </w:tc>
        <w:tc>
          <w:tcPr>
            <w:tcW w:type="dxa" w:w="3175"/>
            <w:tcBorders>
              <w:top w:val="single" w:sz="4" w:space="0" w:color="000000"/>
              <w:left w:val="single" w:sz="4" w:space="0" w:color="000000"/>
              <w:bottom w:val="single" w:sz="4" w:space="0" w:color="000000"/>
              <w:right w:val="single" w:sz="4" w:space="0" w:color="000000"/>
            </w:tcBorders>
          </w:tcPr>
          <w:p>
            <w:pPr>
              <w:spacing w:before="60" w:after="60" w:line="259" w:lineRule="auto"/>
            </w:pPr>
            <w:r/>
            <w:r>
              <w:rPr>
                <w:rFonts w:ascii="Times New Roman" w:hAnsi="Times New Roman" w:eastAsia="Times New Roman"/>
                <w:b w:val="0"/>
                <w:color w:val="1A1A1A"/>
                <w:sz w:val="18"/>
              </w:rPr>
              <w:t>For verification in pre-defense. Run php artisan migrate. Subject teacher to confirm live demo against Form 12.</w:t>
            </w:r>
          </w:p>
        </w:tc>
        <w:tc>
          <w:tcPr>
            <w:tcW w:type="dxa" w:w="1304"/>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18"/>
              </w:rPr>
            </w:r>
          </w:p>
        </w:tc>
      </w:tr>
    </w:tbl>
    <w:p/>
    <w:p>
      <w:r>
        <w:rPr>
          <w:rFonts w:ascii="Times New Roman" w:hAnsi="Times New Roman" w:eastAsia="Times New Roman"/>
          <w:b/>
          <w:color w:val="1A1A1A"/>
          <w:sz w:val="22"/>
        </w:rPr>
        <w:t xml:space="preserve">Summary for the subject teacher: </w:t>
      </w:r>
      <w:r>
        <w:rPr>
          <w:rFonts w:ascii="Times New Roman" w:hAnsi="Times New Roman" w:eastAsia="Times New Roman"/>
          <w:b w:val="0"/>
          <w:color w:val="1A1A1A"/>
          <w:sz w:val="22"/>
        </w:rPr>
        <w:t>Steps 1–6 and UI polish are complete for the prototype scope (2 pharmacies, 10 medicines, 1 geofence). Testing is largely automated; binder photos and the thesis narrative (SDG, IPOO, respondents) are the remaining academic deliverables. Recommended in-class check: guest map → maria inquiry → admin reply → POS sale.</w:t>
      </w:r>
    </w:p>
    <w:p>
      <w:r>
        <w:rPr>
          <w:rFonts w:ascii="Times New Roman" w:hAnsi="Times New Roman" w:eastAsia="Times New Roman"/>
          <w:b w:val="0"/>
          <w:color w:val="444444"/>
          <w:sz w:val="20"/>
        </w:rPr>
        <w:t>Demo accounts (password: password): maria (customer), admin (administrator), sparx_staff (SpaRx).</w:t>
      </w:r>
    </w:p>
    <w:tbl>
      <w:tblPr>
        <w:tblW w:type="auto" w:w="0"/>
        <w:tblLook w:firstColumn="1" w:firstRow="1" w:lastColumn="0" w:lastRow="0" w:noHBand="0" w:noVBand="1" w:val="04A0"/>
      </w:tblPr>
      <w:tblGrid>
        <w:gridCol w:w="5213"/>
        <w:gridCol w:w="5213"/>
      </w:tblGrid>
      <w:tr>
        <w:tc>
          <w:tcPr>
            <w:tcW w:type="dxa" w:w="5213"/>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20"/>
              </w:rPr>
              <w:t>Prepared by the proponents:</w:t>
            </w:r>
          </w:p>
        </w:tc>
        <w:tc>
          <w:tcPr>
            <w:tcW w:type="dxa" w:w="5213"/>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val="0"/>
                <w:color w:val="1A1A1A"/>
                <w:sz w:val="20"/>
              </w:rPr>
              <w:t>Noted:</w:t>
            </w:r>
          </w:p>
        </w:tc>
      </w:tr>
      <w:tr>
        <w:tc>
          <w:tcPr>
            <w:tcW w:type="dxa" w:w="5213"/>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1A1A1A"/>
                <w:sz w:val="20"/>
              </w:rPr>
              <w:br/>
              <w:t>______________________________</w:t>
            </w:r>
          </w:p>
        </w:tc>
        <w:tc>
          <w:tcPr>
            <w:tcW w:type="dxa" w:w="5213"/>
            <w:tcBorders>
              <w:top w:val="single" w:sz="4" w:space="0" w:color="000000"/>
              <w:left w:val="single" w:sz="4" w:space="0" w:color="000000"/>
              <w:bottom w:val="single" w:sz="4" w:space="0" w:color="000000"/>
              <w:right w:val="single" w:sz="4" w:space="0" w:color="000000"/>
            </w:tcBorders>
          </w:tcPr>
          <w:p>
            <w:pPr>
              <w:jc w:val="center"/>
            </w:pPr>
            <w:r/>
            <w:r>
              <w:rPr>
                <w:rFonts w:ascii="Times New Roman" w:hAnsi="Times New Roman" w:eastAsia="Times New Roman"/>
                <w:b w:val="0"/>
                <w:color w:val="1A1A1A"/>
                <w:sz w:val="20"/>
              </w:rPr>
              <w:br/>
              <w:t>______________________________</w:t>
            </w:r>
          </w:p>
        </w:tc>
      </w:tr>
      <w:tr>
        <w:tc>
          <w:tcPr>
            <w:tcW w:type="dxa" w:w="5213"/>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1A1A1A"/>
                <w:sz w:val="20"/>
              </w:rPr>
              <w:t>Chua, Aurelio, Mercado, Lacanlale</w:t>
            </w:r>
          </w:p>
        </w:tc>
        <w:tc>
          <w:tcPr>
            <w:tcW w:type="dxa" w:w="5213"/>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1A1A1A"/>
                <w:sz w:val="20"/>
              </w:rPr>
              <w:t>Dennis Virtudazo</w:t>
            </w:r>
          </w:p>
        </w:tc>
      </w:tr>
      <w:tr>
        <w:tc>
          <w:tcPr>
            <w:tcW w:type="dxa" w:w="5213"/>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1A1A1A"/>
                <w:sz w:val="20"/>
              </w:rPr>
              <w:t>Proponents / researchers</w:t>
            </w:r>
          </w:p>
        </w:tc>
        <w:tc>
          <w:tcPr>
            <w:tcW w:type="dxa" w:w="5213"/>
            <w:tcBorders>
              <w:top w:val="single" w:sz="4" w:space="0" w:color="000000"/>
              <w:left w:val="single" w:sz="4" w:space="0" w:color="000000"/>
              <w:bottom w:val="single" w:sz="4" w:space="0" w:color="000000"/>
              <w:right w:val="single" w:sz="4" w:space="0" w:color="000000"/>
            </w:tcBorders>
          </w:tcPr>
          <w:p>
            <w:pPr>
              <w:spacing w:before="60" w:after="60" w:line="259" w:lineRule="auto"/>
              <w:jc w:val="center"/>
            </w:pPr>
            <w:r/>
            <w:r>
              <w:rPr>
                <w:rFonts w:ascii="Times New Roman" w:hAnsi="Times New Roman" w:eastAsia="Times New Roman"/>
                <w:b/>
                <w:color w:val="1A1A1A"/>
                <w:sz w:val="20"/>
              </w:rPr>
              <w:t>Subject Teacher</w:t>
            </w:r>
          </w:p>
        </w:tc>
      </w:tr>
    </w:tbl>
    <w:p>
      <w:pPr>
        <w:spacing w:before="200"/>
      </w:pPr>
      <w:r>
        <w:rPr>
          <w:rFonts w:ascii="Times New Roman" w:hAnsi="Times New Roman" w:eastAsia="Times New Roman"/>
          <w:b w:val="0"/>
          <w:color w:val="444444"/>
          <w:sz w:val="16"/>
        </w:rPr>
        <w:t>Form No.: TSU-CCS-SF-16     Revision No.: 02     Effectivity Date: September 01, 2017     TCP Form 5 Rev. 2</w:t>
      </w:r>
    </w:p>
    <w:sectPr w:rsidR="00FC693F" w:rsidRPr="0006063C" w:rsidSect="00034616">
      <w:pgSz w:w="12240" w:h="15840"/>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