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5" w:name="content"/>
    <w:bookmarkStart w:id="14" w:name="executive-summary"/>
    <w:p>
      <w:pPr>
        <w:pStyle w:val="Heading1"/>
      </w:pPr>
      <w:r>
        <w:t xml:space="preserve">Executive Summary</w:t>
      </w:r>
    </w:p>
    <w:p>
      <w:pPr>
        <w:pStyle w:val="FirstParagraph"/>
      </w:pPr>
      <w:r>
        <w:t xml:space="preserve">The Legal Metrology (Packaged Commodities) Rules, 2011 (LMPC Rules) and subsequent amendments set detailed labeling requirements for all retail pre-packaged goods in India【24†L202-L211】【35†L51-L56】. Key mandatory declarations include the</w:t>
      </w:r>
      <w:r>
        <w:t xml:space="preserve"> </w:t>
      </w:r>
      <w:r>
        <w:rPr>
          <w:b/>
          <w:bCs/>
        </w:rPr>
        <w:t xml:space="preserve">manufacturer/packer/importer’s name &amp; address</w:t>
      </w:r>
      <w:r>
        <w:t xml:space="preserve">,</w:t>
      </w:r>
      <w:r>
        <w:t xml:space="preserve"> </w:t>
      </w:r>
      <w:r>
        <w:rPr>
          <w:b/>
          <w:bCs/>
        </w:rPr>
        <w:t xml:space="preserve">generic commodity name</w:t>
      </w:r>
      <w:r>
        <w:t xml:space="preserve">,</w:t>
      </w:r>
      <w:r>
        <w:t xml:space="preserve"> </w:t>
      </w:r>
      <w:r>
        <w:rPr>
          <w:b/>
          <w:bCs/>
        </w:rPr>
        <w:t xml:space="preserve">net quantity (standard units)</w:t>
      </w:r>
      <w:r>
        <w:t xml:space="preserve">,</w:t>
      </w:r>
      <w:r>
        <w:t xml:space="preserve"> </w:t>
      </w:r>
      <w:r>
        <w:rPr>
          <w:b/>
          <w:bCs/>
        </w:rPr>
        <w:t xml:space="preserve">manufacture date (month &amp; year)</w:t>
      </w:r>
      <w:r>
        <w:t xml:space="preserve">,</w:t>
      </w:r>
      <w:r>
        <w:t xml:space="preserve"> </w:t>
      </w:r>
      <w:r>
        <w:rPr>
          <w:b/>
          <w:bCs/>
        </w:rPr>
        <w:t xml:space="preserve">MRP (₹, all taxes inclusive)</w:t>
      </w:r>
      <w:r>
        <w:t xml:space="preserve">,</w:t>
      </w:r>
      <w:r>
        <w:t xml:space="preserve"> </w:t>
      </w:r>
      <w:r>
        <w:rPr>
          <w:b/>
          <w:bCs/>
        </w:rPr>
        <w:t xml:space="preserve">Unit Sale Price (price per unit)</w:t>
      </w:r>
      <w:r>
        <w:t xml:space="preserve">, and</w:t>
      </w:r>
      <w:r>
        <w:t xml:space="preserve"> </w:t>
      </w:r>
      <w:r>
        <w:rPr>
          <w:b/>
          <w:bCs/>
        </w:rPr>
        <w:t xml:space="preserve">consumer-care contact details</w:t>
      </w:r>
      <w:r>
        <w:t xml:space="preserve">【24†L208-L216】【60†L520-L529】. In addition, perishable goods require a</w:t>
      </w:r>
      <w:r>
        <w:t xml:space="preserve"> </w:t>
      </w:r>
      <w:r>
        <w:rPr>
          <w:b/>
          <w:bCs/>
        </w:rPr>
        <w:t xml:space="preserve">“Best Before/Use By”</w:t>
      </w:r>
      <w:r>
        <w:t xml:space="preserve"> </w:t>
      </w:r>
      <w:r>
        <w:t xml:space="preserve">date【60†L495-L504】. These must appear legibly on the principal display panel (PDP) in Hindi and/or English, with minimum font sizes (see Table I/II) and clear spacing【39†L387-L396】【40†L444-L452】.</w:t>
      </w:r>
    </w:p>
    <w:p>
      <w:pPr>
        <w:pStyle w:val="BodyText"/>
      </w:pPr>
      <w:r>
        <w:t xml:space="preserve">Our compliance engine should first implement checks for the</w:t>
      </w:r>
      <w:r>
        <w:t xml:space="preserve"> </w:t>
      </w:r>
      <w:r>
        <w:rPr>
          <w:b/>
          <w:bCs/>
        </w:rPr>
        <w:t xml:space="preserve">highest-impact requirements</w:t>
      </w:r>
      <w:r>
        <w:t xml:space="preserve">: e.g. (1)</w:t>
      </w:r>
      <w:r>
        <w:t xml:space="preserve"> </w:t>
      </w:r>
      <w:r>
        <w:rPr>
          <w:i/>
          <w:iCs/>
        </w:rPr>
        <w:t xml:space="preserve">MRP declaration</w:t>
      </w:r>
      <w:r>
        <w:t xml:space="preserve"> </w:t>
      </w:r>
      <w:r>
        <w:t xml:space="preserve">(inclusive of all taxes, in ₹), (2)</w:t>
      </w:r>
      <w:r>
        <w:t xml:space="preserve"> </w:t>
      </w:r>
      <w:r>
        <w:rPr>
          <w:i/>
          <w:iCs/>
        </w:rPr>
        <w:t xml:space="preserve">Net quantity</w:t>
      </w:r>
      <w:r>
        <w:t xml:space="preserve"> </w:t>
      </w:r>
      <w:r>
        <w:t xml:space="preserve">(correct unit and format), (3)</w:t>
      </w:r>
      <w:r>
        <w:t xml:space="preserve"> </w:t>
      </w:r>
      <w:r>
        <w:rPr>
          <w:i/>
          <w:iCs/>
        </w:rPr>
        <w:t xml:space="preserve">Generic name</w:t>
      </w:r>
      <w:r>
        <w:t xml:space="preserve"> </w:t>
      </w:r>
      <w:r>
        <w:t xml:space="preserve">(not just brand name), (4)</w:t>
      </w:r>
      <w:r>
        <w:t xml:space="preserve"> </w:t>
      </w:r>
      <w:r>
        <w:rPr>
          <w:i/>
          <w:iCs/>
        </w:rPr>
        <w:t xml:space="preserve">Manufacturer identity</w:t>
      </w:r>
      <w:r>
        <w:t xml:space="preserve"> </w:t>
      </w:r>
      <w:r>
        <w:t xml:space="preserve">(complete address), (5)</w:t>
      </w:r>
      <w:r>
        <w:t xml:space="preserve"> </w:t>
      </w:r>
      <w:r>
        <w:rPr>
          <w:i/>
          <w:iCs/>
        </w:rPr>
        <w:t xml:space="preserve">Unit sale price</w:t>
      </w:r>
      <w:r>
        <w:t xml:space="preserve"> </w:t>
      </w:r>
      <w:r>
        <w:t xml:space="preserve">(per unit price in ₹), and (6)</w:t>
      </w:r>
      <w:r>
        <w:t xml:space="preserve"> </w:t>
      </w:r>
      <w:r>
        <w:rPr>
          <w:i/>
          <w:iCs/>
        </w:rPr>
        <w:t xml:space="preserve">Consumer-care info</w:t>
      </w:r>
      <w:r>
        <w:t xml:space="preserve"> </w:t>
      </w:r>
      <w:r>
        <w:t xml:space="preserve">(phone/email). These checks directly affect consumer protection and are frequently enforced【35†L51-L56】【67†L245-L254】. Secondary checks include date formatting, dimension declarations, barcode/QR presence, and font/spacing rules. All checks should default conservatively (i.e. assume non-compliance when ambiguous). For example, if country of origin is missing on an imported product, flag a violation (although not explicitly required by old rules, it is now expected under recent guidelines【35†L51-L56】).</w:t>
      </w:r>
    </w:p>
    <w:p>
      <w:pPr>
        <w:pStyle w:val="BodyText"/>
      </w:pPr>
      <w:r>
        <w:t xml:space="preserve">Below we provide a</w:t>
      </w:r>
      <w:r>
        <w:t xml:space="preserve"> </w:t>
      </w:r>
      <w:r>
        <w:rPr>
          <w:b/>
          <w:bCs/>
        </w:rPr>
        <w:t xml:space="preserve">machine-readable compliance matrix</w:t>
      </w:r>
      <w:r>
        <w:t xml:space="preserve"> </w:t>
      </w:r>
      <w:r>
        <w:t xml:space="preserve">with each requirement, exact legal wording, exceptions, and enforcement notes. A sample compliance flowchart (Mermaid) illustrates the high-level rule-engine logic. The accompanying prioritized checklist highlights the top 10 checks that yield the most consumer-protection impact. We conclude with a discussion of key ambiguities and recommended conservative defaults for the prototype. All citations below are to official sources (LMPC Rules and Gazette amendments).</w:t>
      </w:r>
    </w:p>
    <w:bookmarkStart w:id="10" w:name="compliance-rules-matrix-sample-rows"/>
    <w:p>
      <w:pPr>
        <w:pStyle w:val="Heading2"/>
      </w:pPr>
      <w:r>
        <w:t xml:space="preserve">Compliance Rules Matrix (sample rows)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Rule/Section</w:t>
            </w:r>
          </w:p>
        </w:tc>
        <w:tc>
          <w:tcPr/>
          <w:p>
            <w:pPr>
              <w:pStyle w:val="Compact"/>
            </w:pPr>
            <w:r>
              <w:rPr>
                <w:b/>
                <w:bCs/>
              </w:rPr>
              <w:t xml:space="preserve">Requirement</w:t>
            </w:r>
          </w:p>
        </w:tc>
        <w:tc>
          <w:tcPr/>
          <w:p>
            <w:pPr>
              <w:pStyle w:val="Compact"/>
            </w:pPr>
            <w:r>
              <w:rPr>
                <w:b/>
                <w:bCs/>
              </w:rPr>
              <w:t xml:space="preserve">Exact Wording (quoted)</w:t>
            </w:r>
          </w:p>
        </w:tc>
        <w:tc>
          <w:tcPr/>
          <w:p>
            <w:pPr>
              <w:pStyle w:val="Compact"/>
            </w:pPr>
            <w:r>
              <w:rPr>
                <w:b/>
                <w:bCs/>
              </w:rPr>
              <w:t xml:space="preserve">Applies To</w:t>
            </w:r>
          </w:p>
        </w:tc>
        <w:tc>
          <w:tcPr/>
          <w:p>
            <w:pPr>
              <w:pStyle w:val="Compact"/>
            </w:pPr>
            <w:r>
              <w:rPr>
                <w:b/>
                <w:bCs/>
              </w:rPr>
              <w:t xml:space="preserve">Format/Units/Notes</w:t>
            </w:r>
          </w:p>
        </w:tc>
        <w:tc>
          <w:tcPr/>
          <w:p>
            <w:pPr>
              <w:pStyle w:val="Compact"/>
            </w:pPr>
            <w:r>
              <w:rPr>
                <w:b/>
                <w:bCs/>
              </w:rPr>
              <w:t xml:space="preserve">Placement/Font</w:t>
            </w:r>
          </w:p>
        </w:tc>
        <w:tc>
          <w:tcPr/>
          <w:p>
            <w:pPr>
              <w:pStyle w:val="Compact"/>
            </w:pPr>
            <w:r>
              <w:rPr>
                <w:b/>
                <w:bCs/>
              </w:rPr>
              <w:t xml:space="preserve">Exceptions</w:t>
            </w:r>
          </w:p>
        </w:tc>
        <w:tc>
          <w:tcPr/>
          <w:p>
            <w:pPr>
              <w:pStyle w:val="Compact"/>
            </w:pPr>
            <w:r>
              <w:rPr>
                <w:b/>
                <w:bCs/>
              </w:rPr>
              <w:t xml:space="preserve">Penalty/Severity</w:t>
            </w:r>
          </w:p>
        </w:tc>
        <w:tc>
          <w:tcPr/>
          <w:p>
            <w:pPr>
              <w:pStyle w:val="Compact"/>
            </w:pPr>
            <w:r>
              <w:rPr>
                <w:b/>
                <w:bCs/>
              </w:rPr>
              <w:t xml:space="preserve">Effective Date</w:t>
            </w:r>
          </w:p>
        </w:tc>
        <w:tc>
          <w:tcPr/>
          <w:p>
            <w:pPr>
              <w:pStyle w:val="Compact"/>
            </w:pPr>
            <w:r>
              <w:rPr>
                <w:b/>
                <w:bCs/>
              </w:rPr>
              <w:t xml:space="preserve">Source</w:t>
            </w:r>
          </w:p>
        </w:tc>
      </w:tr>
      <w:tr>
        <w:tc>
          <w:tcPr/>
          <w:p>
            <w:pPr>
              <w:pStyle w:val="Compact"/>
            </w:pPr>
            <w:r>
              <w:t xml:space="preserve">Rule 6(1)(a)</w:t>
            </w:r>
          </w:p>
        </w:tc>
        <w:tc>
          <w:tcPr/>
          <w:p>
            <w:pPr>
              <w:pStyle w:val="Compact"/>
            </w:pPr>
            <w:r>
              <w:t xml:space="preserve">Manufacturer/Packer/Importer name &amp; address</w:t>
            </w:r>
          </w:p>
        </w:tc>
        <w:tc>
          <w:tcPr/>
          <w:p>
            <w:pPr>
              <w:pStyle w:val="Compact"/>
            </w:pPr>
            <w:r>
              <w:t xml:space="preserve">“the name and address of the manufacturer, or ... the name and address of the manufacturer and packer and for any imported package the name and address of the importer”【24†L208-L216】</w:t>
            </w:r>
          </w:p>
        </w:tc>
        <w:tc>
          <w:tcPr/>
          <w:p>
            <w:pPr>
              <w:pStyle w:val="Compact"/>
            </w:pPr>
            <w:r>
              <w:t xml:space="preserve">All retail packages</w:t>
            </w:r>
          </w:p>
        </w:tc>
        <w:tc>
          <w:tcPr/>
          <w:p>
            <w:pPr>
              <w:pStyle w:val="Compact"/>
            </w:pPr>
            <w:r>
              <w:t xml:space="preserve">Full postal address (must include at least city, PIN). Corporate/trade name must be used【42†L502-L510】.</w:t>
            </w:r>
          </w:p>
        </w:tc>
        <w:tc>
          <w:tcPr/>
          <w:p>
            <w:pPr>
              <w:pStyle w:val="Compact"/>
            </w:pPr>
            <w:r>
              <w:t xml:space="preserve">Principal Display Panel (PDP); letters ≥1 mm (≥2 mm if embossed)【39†L392-L400】</w:t>
            </w:r>
          </w:p>
        </w:tc>
        <w:tc>
          <w:tcPr/>
          <w:p>
            <w:pPr>
              <w:pStyle w:val="Compact"/>
            </w:pPr>
            <w:r>
              <w:t xml:space="preserve">Food items: PFA rules apply (PFA labeling instead)【26†L254-L262】; Cosmetics: Drugs Rules apply【26†L268-L270】; loose garments: only name+origin required【71†L1566-L1574】</w:t>
            </w:r>
          </w:p>
        </w:tc>
        <w:tc>
          <w:tcPr/>
          <w:p>
            <w:pPr>
              <w:pStyle w:val="Compact"/>
            </w:pPr>
            <w:r>
              <w:t xml:space="preserve">Violation attracts fine (Sec 36 LM Act up to ₹25K, higher for repeat【67†L245-L254】)</w:t>
            </w:r>
          </w:p>
        </w:tc>
        <w:tc>
          <w:tcPr/>
          <w:p>
            <w:pPr>
              <w:pStyle w:val="Compact"/>
            </w:pPr>
            <w:r>
              <w:t xml:space="preserve">07 Mar 2011 (Rule 6)</w:t>
            </w:r>
          </w:p>
        </w:tc>
        <w:tc>
          <w:tcPr/>
          <w:p>
            <w:pPr>
              <w:pStyle w:val="Compact"/>
            </w:pPr>
            <w:r>
              <w:t xml:space="preserve">[24†L208-L216][42†L502-L510]</w:t>
            </w:r>
          </w:p>
        </w:tc>
      </w:tr>
      <w:tr>
        <w:tc>
          <w:tcPr/>
          <w:p>
            <w:pPr>
              <w:pStyle w:val="Compact"/>
            </w:pPr>
            <w:r>
              <w:t xml:space="preserve">Rule 6(1)(b)</w:t>
            </w:r>
          </w:p>
        </w:tc>
        <w:tc>
          <w:tcPr/>
          <w:p>
            <w:pPr>
              <w:pStyle w:val="Compact"/>
            </w:pPr>
            <w:r>
              <w:t xml:space="preserve">Generic/Common commodity name</w:t>
            </w:r>
          </w:p>
        </w:tc>
        <w:tc>
          <w:tcPr/>
          <w:p>
            <w:pPr>
              <w:pStyle w:val="Compact"/>
            </w:pPr>
            <w:r>
              <w:t xml:space="preserve">“the common or generic names of the commodity contained in the package”【24†L236-L240】</w:t>
            </w:r>
          </w:p>
        </w:tc>
        <w:tc>
          <w:tcPr/>
          <w:p>
            <w:pPr>
              <w:pStyle w:val="Compact"/>
            </w:pPr>
            <w:r>
              <w:t xml:space="preserve">All retail packages</w:t>
            </w:r>
          </w:p>
        </w:tc>
        <w:tc>
          <w:tcPr/>
          <w:p>
            <w:pPr>
              <w:pStyle w:val="Compact"/>
            </w:pPr>
            <w:r>
              <w:t xml:space="preserve">Plain text of commodity (e.g. “Plain Flour”). Must not use only brand name【62†L41-L49】.</w:t>
            </w:r>
          </w:p>
        </w:tc>
        <w:tc>
          <w:tcPr/>
          <w:p>
            <w:pPr>
              <w:pStyle w:val="Compact"/>
            </w:pPr>
            <w:r>
              <w:t xml:space="preserve">PDP; letters ≥1 mm【39†L392-L400】</w:t>
            </w:r>
          </w:p>
        </w:tc>
        <w:tc>
          <w:tcPr/>
          <w:p>
            <w:pPr>
              <w:pStyle w:val="Compact"/>
            </w:pPr>
            <w:r>
              <w:t xml:space="preserve">Garments/hosiery sold loose: exempt【62†L41-L49】</w:t>
            </w:r>
          </w:p>
        </w:tc>
        <w:tc>
          <w:tcPr/>
          <w:p>
            <w:pPr>
              <w:pStyle w:val="Compact"/>
            </w:pPr>
            <w:r>
              <w:t xml:space="preserve">Violation: fine (Sec 36 LM Act)</w:t>
            </w:r>
          </w:p>
        </w:tc>
        <w:tc>
          <w:tcPr/>
          <w:p>
            <w:pPr>
              <w:pStyle w:val="Compact"/>
            </w:pPr>
            <w:r>
              <w:t xml:space="preserve">07 Mar 2011 (Rule 6)</w:t>
            </w:r>
          </w:p>
        </w:tc>
        <w:tc>
          <w:tcPr/>
          <w:p>
            <w:pPr>
              <w:pStyle w:val="Compact"/>
            </w:pPr>
            <w:r>
              <w:t xml:space="preserve">[24†L236-L240][62†L41-L49]</w:t>
            </w:r>
          </w:p>
        </w:tc>
      </w:tr>
      <w:tr>
        <w:tc>
          <w:tcPr/>
          <w:p>
            <w:pPr>
              <w:pStyle w:val="Compact"/>
            </w:pPr>
            <w:r>
              <w:t xml:space="preserve">Rule 6(1)(c)</w:t>
            </w:r>
          </w:p>
        </w:tc>
        <w:tc>
          <w:tcPr/>
          <w:p>
            <w:pPr>
              <w:pStyle w:val="Compact"/>
            </w:pPr>
            <w:r>
              <w:t xml:space="preserve">Net quantity (weight/measure/number)</w:t>
            </w:r>
          </w:p>
        </w:tc>
        <w:tc>
          <w:tcPr/>
          <w:p>
            <w:pPr>
              <w:pStyle w:val="Compact"/>
            </w:pPr>
            <w:r>
              <w:t xml:space="preserve">“the net quantity, in terms of the standard unit of weight or measure, of the commodity contained in the package or ... the number of the commodity”【24†L241-L245】</w:t>
            </w:r>
          </w:p>
        </w:tc>
        <w:tc>
          <w:tcPr/>
          <w:p>
            <w:pPr>
              <w:pStyle w:val="Compact"/>
            </w:pPr>
            <w:r>
              <w:t xml:space="preserve">All retail packages</w:t>
            </w:r>
          </w:p>
        </w:tc>
        <w:tc>
          <w:tcPr/>
          <w:p>
            <w:pPr>
              <w:pStyle w:val="Compact"/>
            </w:pPr>
            <w:r>
              <w:t xml:space="preserve">Numeric + unit. Allowed units: gram/kg (≤1kg/≥1kg), ml/l, cm/m, sq.cm/dm, pieces, sets, etc【48†L99-L105】. Quantities by count can be written as “pcs.”, “pair”, etc.</w:t>
            </w:r>
          </w:p>
        </w:tc>
        <w:tc>
          <w:tcPr/>
          <w:p>
            <w:pPr>
              <w:pStyle w:val="Compact"/>
            </w:pPr>
            <w:r>
              <w:t xml:space="preserve">PDP; digits per Table I/II (e.g. ≥1 mm for ≤200 g【39†L387-L396】). Spacing: surrounding area ≥ height of digit【40†L445-L454】.</w:t>
            </w:r>
          </w:p>
        </w:tc>
        <w:tc>
          <w:tcPr/>
          <w:p>
            <w:pPr>
              <w:pStyle w:val="Compact"/>
            </w:pPr>
            <w:r>
              <w:t xml:space="preserve">Packages ≤5 cc: tag/label ok【39†L379-L387】; Garment loose: exempt【62†L41-L49】; thread coils: exempt【71†L1558-L1562】.</w:t>
            </w:r>
          </w:p>
        </w:tc>
        <w:tc>
          <w:tcPr/>
          <w:p>
            <w:pPr>
              <w:pStyle w:val="Compact"/>
            </w:pPr>
            <w:r>
              <w:t xml:space="preserve">Violation: fine (Sec 36)</w:t>
            </w:r>
          </w:p>
        </w:tc>
        <w:tc>
          <w:tcPr/>
          <w:p>
            <w:pPr>
              <w:pStyle w:val="Compact"/>
            </w:pPr>
            <w:r>
              <w:t xml:space="preserve">07 Mar 2011 (Rule 6)</w:t>
            </w:r>
          </w:p>
        </w:tc>
        <w:tc>
          <w:tcPr/>
          <w:p>
            <w:pPr>
              <w:pStyle w:val="Compact"/>
            </w:pPr>
            <w:r>
              <w:t xml:space="preserve">[24†L241-L245][39†L387-L396]</w:t>
            </w:r>
          </w:p>
        </w:tc>
      </w:tr>
      <w:tr>
        <w:tc>
          <w:tcPr/>
          <w:p>
            <w:pPr>
              <w:pStyle w:val="Compact"/>
            </w:pPr>
            <w:r>
              <w:t xml:space="preserve">Rule 6(1)(d)</w:t>
            </w:r>
          </w:p>
        </w:tc>
        <w:tc>
          <w:tcPr/>
          <w:p>
            <w:pPr>
              <w:pStyle w:val="Compact"/>
            </w:pPr>
            <w:r>
              <w:t xml:space="preserve">Manufacturing date (month &amp; year)</w:t>
            </w:r>
          </w:p>
        </w:tc>
        <w:tc>
          <w:tcPr/>
          <w:p>
            <w:pPr>
              <w:pStyle w:val="Compact"/>
            </w:pPr>
            <w:r>
              <w:t xml:space="preserve">“the month and year in which the commodity is manufactured or pre-packed or imported”【24†L246-L252】</w:t>
            </w:r>
          </w:p>
        </w:tc>
        <w:tc>
          <w:tcPr/>
          <w:p>
            <w:pPr>
              <w:pStyle w:val="Compact"/>
            </w:pPr>
            <w:r>
              <w:t xml:space="preserve">All retail packages</w:t>
            </w:r>
          </w:p>
        </w:tc>
        <w:tc>
          <w:tcPr/>
          <w:p>
            <w:pPr>
              <w:pStyle w:val="Compact"/>
            </w:pPr>
            <w:r>
              <w:t xml:space="preserve">E.g. “Jan 2023”. (Amended: now only month/year of manufacture is required【48†L42-L50】.)</w:t>
            </w:r>
          </w:p>
        </w:tc>
        <w:tc>
          <w:tcPr/>
          <w:p>
            <w:pPr>
              <w:pStyle w:val="Compact"/>
            </w:pPr>
            <w:r>
              <w:t xml:space="preserve">PDP; numerals per Table I; letters ≥1 mm【39†L392-L400】.</w:t>
            </w:r>
          </w:p>
        </w:tc>
        <w:tc>
          <w:tcPr/>
          <w:p>
            <w:pPr>
              <w:pStyle w:val="Compact"/>
            </w:pPr>
            <w:r>
              <w:t xml:space="preserve">Not required for bidis/incense sticks and domestic LPG cylinders【26†L287-L293】; Garment loose: exempt【62†L41-L49】.</w:t>
            </w:r>
          </w:p>
        </w:tc>
        <w:tc>
          <w:tcPr/>
          <w:p>
            <w:pPr>
              <w:pStyle w:val="Compact"/>
            </w:pPr>
            <w:r>
              <w:t xml:space="preserve">Violation: fine (Sec 36)</w:t>
            </w:r>
          </w:p>
        </w:tc>
        <w:tc>
          <w:tcPr/>
          <w:p>
            <w:pPr>
              <w:pStyle w:val="Compact"/>
            </w:pPr>
            <w:r>
              <w:t xml:space="preserve">07 Mar 2011 (Rule 6)</w:t>
            </w:r>
          </w:p>
        </w:tc>
        <w:tc>
          <w:tcPr/>
          <w:p>
            <w:pPr>
              <w:pStyle w:val="Compact"/>
            </w:pPr>
            <w:r>
              <w:t xml:space="preserve">[24†L246-L252][48†L42-L50]</w:t>
            </w:r>
          </w:p>
        </w:tc>
      </w:tr>
      <w:tr>
        <w:tc>
          <w:tcPr/>
          <w:p>
            <w:pPr>
              <w:pStyle w:val="Compact"/>
            </w:pPr>
            <w:r>
              <w:t xml:space="preserve">Rule 6(1)(e)</w:t>
            </w:r>
          </w:p>
        </w:tc>
        <w:tc>
          <w:tcPr/>
          <w:p>
            <w:pPr>
              <w:pStyle w:val="Compact"/>
            </w:pPr>
            <w:r>
              <w:t xml:space="preserve">Retail Sale Price (MRP)</w:t>
            </w:r>
          </w:p>
        </w:tc>
        <w:tc>
          <w:tcPr/>
          <w:p>
            <w:pPr>
              <w:pStyle w:val="Compact"/>
            </w:pPr>
            <w:r>
              <w:t xml:space="preserve">“the retail sale price of the package”【26†L271-L278】; must indicate “Maximum Retail Price inclusive of all taxes [in Indian currency]”【60†L520-L529】</w:t>
            </w:r>
          </w:p>
        </w:tc>
        <w:tc>
          <w:tcPr/>
          <w:p>
            <w:pPr>
              <w:pStyle w:val="Compact"/>
            </w:pPr>
            <w:r>
              <w:t xml:space="preserve">All retail packages</w:t>
            </w:r>
          </w:p>
        </w:tc>
        <w:tc>
          <w:tcPr/>
          <w:p>
            <w:pPr>
              <w:pStyle w:val="Compact"/>
            </w:pPr>
            <w:r>
              <w:t xml:space="preserve">Numeric price with “₹” or “Rs.”; inclusive of all taxes【60†L520-L529】.</w:t>
            </w:r>
          </w:p>
        </w:tc>
        <w:tc>
          <w:tcPr/>
          <w:p>
            <w:pPr>
              <w:pStyle w:val="Compact"/>
            </w:pPr>
            <w:r>
              <w:t xml:space="preserve">PDP; digits per Table I【39†L387-L396】; contrast with background【58†L839-L844】.</w:t>
            </w:r>
          </w:p>
        </w:tc>
        <w:tc>
          <w:tcPr/>
          <w:p>
            <w:pPr>
              <w:pStyle w:val="Compact"/>
            </w:pPr>
            <w:r>
              <w:t xml:space="preserve">No MRP required for bidis【60†L589-L593】; domestic LPG price often set by govt (Administrative Price)【60†L590-L594】; alcohol subject to State excise rules【26†L271-L278】.</w:t>
            </w:r>
          </w:p>
        </w:tc>
        <w:tc>
          <w:tcPr/>
          <w:p>
            <w:pPr>
              <w:pStyle w:val="Compact"/>
            </w:pPr>
            <w:r>
              <w:t xml:space="preserve">Violation: fine (Sec 36)</w:t>
            </w:r>
          </w:p>
        </w:tc>
        <w:tc>
          <w:tcPr/>
          <w:p>
            <w:pPr>
              <w:pStyle w:val="Compact"/>
            </w:pPr>
            <w:r>
              <w:t xml:space="preserve">07 Mar 2011 (Rule 6)</w:t>
            </w:r>
          </w:p>
        </w:tc>
        <w:tc>
          <w:tcPr/>
          <w:p>
            <w:pPr>
              <w:pStyle w:val="Compact"/>
            </w:pPr>
            <w:r>
              <w:t xml:space="preserve">[26†L271-L278][60†L520-L529]</w:t>
            </w:r>
          </w:p>
        </w:tc>
      </w:tr>
      <w:tr>
        <w:tc>
          <w:tcPr/>
          <w:p>
            <w:pPr>
              <w:pStyle w:val="Compact"/>
            </w:pPr>
            <w:r>
              <w:t xml:space="preserve">Rule 6(da)</w:t>
            </w:r>
          </w:p>
        </w:tc>
        <w:tc>
          <w:tcPr/>
          <w:p>
            <w:pPr>
              <w:pStyle w:val="Compact"/>
            </w:pPr>
            <w:r>
              <w:t xml:space="preserve">Best Before/Use-By date</w:t>
            </w:r>
          </w:p>
        </w:tc>
        <w:tc>
          <w:tcPr/>
          <w:p>
            <w:pPr>
              <w:pStyle w:val="Compact"/>
            </w:pPr>
            <w:r>
              <w:t xml:space="preserve">“If a package contains a commodity which may become unfit for human consumption… the ‘best before or use by the date, month and year’ shall also be mentioned”【60†L495-L504】</w:t>
            </w:r>
          </w:p>
        </w:tc>
        <w:tc>
          <w:tcPr/>
          <w:p>
            <w:pPr>
              <w:pStyle w:val="Compact"/>
            </w:pPr>
            <w:r>
              <w:t xml:space="preserve">Perishable packaged commodities</w:t>
            </w:r>
          </w:p>
        </w:tc>
        <w:tc>
          <w:tcPr/>
          <w:p>
            <w:pPr>
              <w:pStyle w:val="Compact"/>
            </w:pPr>
            <w:r>
              <w:t xml:space="preserve">Label as “BEST BEFORE [MM/YYYY]” or “USE BY [MM/YYYY]”. (FSSAI regulations also apply for foods.)</w:t>
            </w:r>
          </w:p>
        </w:tc>
        <w:tc>
          <w:tcPr/>
          <w:p>
            <w:pPr>
              <w:pStyle w:val="Compact"/>
            </w:pPr>
            <w:r>
              <w:t xml:space="preserve">PDP; digits per Table I; letters ≥1 mm【39†L392-L400】.</w:t>
            </w:r>
          </w:p>
        </w:tc>
        <w:tc>
          <w:tcPr/>
          <w:p>
            <w:pPr>
              <w:pStyle w:val="Compact"/>
            </w:pPr>
            <w:r>
              <w:t xml:space="preserve">Exempt if covered by other law (e.g. FSSAI)【60†L495-L504】; no best-before needed if shelf-life ≤90 days【60†L579-L584】; garments, etc: exempt【62†L41-L49】.</w:t>
            </w:r>
          </w:p>
        </w:tc>
        <w:tc>
          <w:tcPr/>
          <w:p>
            <w:pPr>
              <w:pStyle w:val="Compact"/>
            </w:pPr>
            <w:r>
              <w:t xml:space="preserve">Violation: fine (Sec 36)</w:t>
            </w:r>
          </w:p>
        </w:tc>
        <w:tc>
          <w:tcPr/>
          <w:p>
            <w:pPr>
              <w:pStyle w:val="Compact"/>
            </w:pPr>
            <w:r>
              <w:t xml:space="preserve">02 Nov 2021 (amend 2021)</w:t>
            </w:r>
          </w:p>
        </w:tc>
        <w:tc>
          <w:tcPr/>
          <w:p>
            <w:pPr>
              <w:pStyle w:val="Compact"/>
            </w:pPr>
            <w:r>
              <w:t xml:space="preserve">[60†L495-L504][60†L579-L584]</w:t>
            </w:r>
          </w:p>
        </w:tc>
      </w:tr>
      <w:tr>
        <w:tc>
          <w:tcPr/>
          <w:p>
            <w:pPr>
              <w:pStyle w:val="Compact"/>
            </w:pPr>
            <w:r>
              <w:t xml:space="preserve">Rule 6(1)(f)</w:t>
            </w:r>
          </w:p>
        </w:tc>
        <w:tc>
          <w:tcPr/>
          <w:p>
            <w:pPr>
              <w:pStyle w:val="Compact"/>
            </w:pPr>
            <w:r>
              <w:t xml:space="preserve">Commodity dimensions</w:t>
            </w:r>
          </w:p>
        </w:tc>
        <w:tc>
          <w:tcPr/>
          <w:p>
            <w:pPr>
              <w:pStyle w:val="Compact"/>
            </w:pPr>
            <w:r>
              <w:t xml:space="preserve">“Where the sizes of the commodity contained in the package are relevant, the dimensions of the commodity…shall be mentioned.”【26†L280-L288】</w:t>
            </w:r>
          </w:p>
        </w:tc>
        <w:tc>
          <w:tcPr/>
          <w:p>
            <w:pPr>
              <w:pStyle w:val="Compact"/>
            </w:pPr>
            <w:r>
              <w:t xml:space="preserve">Packaged goods (furniture, tubes, etc.)</w:t>
            </w:r>
          </w:p>
        </w:tc>
        <w:tc>
          <w:tcPr/>
          <w:p>
            <w:pPr>
              <w:pStyle w:val="Compact"/>
            </w:pPr>
            <w:r>
              <w:t xml:space="preserve">Write dimensions (e.g. “10 cm × 20 cm”).</w:t>
            </w:r>
          </w:p>
        </w:tc>
        <w:tc>
          <w:tcPr/>
          <w:p>
            <w:pPr>
              <w:pStyle w:val="Compact"/>
            </w:pPr>
            <w:r>
              <w:t xml:space="preserve">PDP; letters ≥1 mm【39†L392-L400】.</w:t>
            </w:r>
          </w:p>
        </w:tc>
        <w:tc>
          <w:tcPr/>
          <w:p>
            <w:pPr>
              <w:pStyle w:val="Compact"/>
            </w:pPr>
            <w:r>
              <w:t xml:space="preserve">Electronics: size may be given via QR code if declared there【60†L543-L548】.</w:t>
            </w:r>
          </w:p>
        </w:tc>
        <w:tc>
          <w:tcPr/>
          <w:p>
            <w:pPr>
              <w:pStyle w:val="Compact"/>
            </w:pPr>
            <w:r>
              <w:t xml:space="preserve">Violation: fine (Sec 36)</w:t>
            </w:r>
          </w:p>
        </w:tc>
        <w:tc>
          <w:tcPr/>
          <w:p>
            <w:pPr>
              <w:pStyle w:val="Compact"/>
            </w:pPr>
            <w:r>
              <w:t xml:space="preserve">07 Mar 2011 (Rule 6)</w:t>
            </w:r>
          </w:p>
        </w:tc>
        <w:tc>
          <w:tcPr/>
          <w:p>
            <w:pPr>
              <w:pStyle w:val="Compact"/>
            </w:pPr>
            <w:r>
              <w:t xml:space="preserve">[26†L280-L288][60†L543-L548]</w:t>
            </w:r>
          </w:p>
        </w:tc>
      </w:tr>
      <w:tr>
        <w:tc>
          <w:tcPr/>
          <w:p>
            <w:pPr>
              <w:pStyle w:val="Compact"/>
            </w:pPr>
            <w:r>
              <w:t xml:space="preserve">Rule 6(2)</w:t>
            </w:r>
          </w:p>
        </w:tc>
        <w:tc>
          <w:tcPr/>
          <w:p>
            <w:pPr>
              <w:pStyle w:val="Compact"/>
            </w:pPr>
            <w:r>
              <w:t xml:space="preserve">Consumer care details</w:t>
            </w:r>
          </w:p>
        </w:tc>
        <w:tc>
          <w:tcPr/>
          <w:p>
            <w:pPr>
              <w:pStyle w:val="Compact"/>
            </w:pPr>
            <w:r>
              <w:t xml:space="preserve">“the name, address, telephone number, e-mail address… of the person or office…for consumer complaints.”【38†L333-L338】</w:t>
            </w:r>
          </w:p>
        </w:tc>
        <w:tc>
          <w:tcPr/>
          <w:p>
            <w:pPr>
              <w:pStyle w:val="Compact"/>
            </w:pPr>
            <w:r>
              <w:t xml:space="preserve">All retail packages</w:t>
            </w:r>
          </w:p>
        </w:tc>
        <w:tc>
          <w:tcPr/>
          <w:p>
            <w:pPr>
              <w:pStyle w:val="Compact"/>
            </w:pPr>
            <w:r>
              <w:t xml:space="preserve">Name/address plus valid phone and email.</w:t>
            </w:r>
          </w:p>
        </w:tc>
        <w:tc>
          <w:tcPr/>
          <w:p>
            <w:pPr>
              <w:pStyle w:val="Compact"/>
            </w:pPr>
            <w:r>
              <w:t xml:space="preserve">PDP; letters ≥1 mm【39†L392-L400】.</w:t>
            </w:r>
          </w:p>
        </w:tc>
        <w:tc>
          <w:tcPr/>
          <w:p>
            <w:pPr>
              <w:pStyle w:val="Compact"/>
            </w:pPr>
            <w:r>
              <w:t xml:space="preserve">Garment loose: only email &amp; phone required【62†L59-L68】.</w:t>
            </w:r>
          </w:p>
        </w:tc>
        <w:tc>
          <w:tcPr/>
          <w:p>
            <w:pPr>
              <w:pStyle w:val="Compact"/>
            </w:pPr>
            <w:r>
              <w:t xml:space="preserve">Violation: fine (Sec 36)</w:t>
            </w:r>
          </w:p>
        </w:tc>
        <w:tc>
          <w:tcPr/>
          <w:p>
            <w:pPr>
              <w:pStyle w:val="Compact"/>
            </w:pPr>
            <w:r>
              <w:t xml:space="preserve">07 Mar 2011 (Rule 6)</w:t>
            </w:r>
          </w:p>
        </w:tc>
        <w:tc>
          <w:tcPr/>
          <w:p>
            <w:pPr>
              <w:pStyle w:val="Compact"/>
            </w:pPr>
            <w:r>
              <w:t xml:space="preserve">[38†L333-L338][62†L59-L68]</w:t>
            </w:r>
          </w:p>
        </w:tc>
      </w:tr>
      <w:tr>
        <w:tc>
          <w:tcPr/>
          <w:p>
            <w:pPr>
              <w:pStyle w:val="Compact"/>
            </w:pPr>
            <w:r>
              <w:t xml:space="preserve">Rule 6(11)</w:t>
            </w:r>
          </w:p>
        </w:tc>
        <w:tc>
          <w:tcPr/>
          <w:p>
            <w:pPr>
              <w:pStyle w:val="Compact"/>
            </w:pPr>
            <w:r>
              <w:t xml:space="preserve">Unit Sale Price (USP)</w:t>
            </w:r>
          </w:p>
        </w:tc>
        <w:tc>
          <w:tcPr/>
          <w:p>
            <w:pPr>
              <w:pStyle w:val="Compact"/>
            </w:pPr>
            <w:r>
              <w:t xml:space="preserve">“The unit sale price in rupees, rounded off to the nearest two decimal place, shall be declared on every pre-packaged commodity in the following manner… per gram (if &lt;1kg) or per kg; per ml (if &lt;1L) or per L; per cm (if &lt;1m) or per m; per number (if sold by number)…”【58†L723-L731】【58†L739-L748】</w:t>
            </w:r>
          </w:p>
        </w:tc>
        <w:tc>
          <w:tcPr/>
          <w:p>
            <w:pPr>
              <w:pStyle w:val="Compact"/>
            </w:pPr>
            <w:r>
              <w:t xml:space="preserve">All retail packages (except alcohol)</w:t>
            </w:r>
          </w:p>
        </w:tc>
        <w:tc>
          <w:tcPr/>
          <w:p>
            <w:pPr>
              <w:pStyle w:val="Compact"/>
            </w:pPr>
            <w:r>
              <w:t xml:space="preserve">“₹ X.XX per [unit]” as per above. E.g. “₹5.00 per 100 g” or “₹10.00 per kg”.</w:t>
            </w:r>
          </w:p>
        </w:tc>
        <w:tc>
          <w:tcPr/>
          <w:p>
            <w:pPr>
              <w:pStyle w:val="Compact"/>
            </w:pPr>
            <w:r>
              <w:t xml:space="preserve">PDP (with numeric height Table I).</w:t>
            </w:r>
          </w:p>
        </w:tc>
        <w:tc>
          <w:tcPr/>
          <w:p>
            <w:pPr>
              <w:pStyle w:val="Compact"/>
            </w:pPr>
            <w:r>
              <w:t xml:space="preserve">Alcohol (excise laws apply)【58†L741-L748】; USP not required if MRP equals USP【58†L745-L748】; Garment loose: exempt【62†L41-L49】.</w:t>
            </w:r>
          </w:p>
        </w:tc>
        <w:tc>
          <w:tcPr/>
          <w:p>
            <w:pPr>
              <w:pStyle w:val="Compact"/>
            </w:pPr>
            <w:r>
              <w:t xml:space="preserve">Violation: fine (Sec 36)</w:t>
            </w:r>
          </w:p>
        </w:tc>
        <w:tc>
          <w:tcPr/>
          <w:p>
            <w:pPr>
              <w:pStyle w:val="Compact"/>
            </w:pPr>
            <w:r>
              <w:t xml:space="preserve">28 Mar 2022 (amend)</w:t>
            </w:r>
          </w:p>
        </w:tc>
        <w:tc>
          <w:tcPr/>
          <w:p>
            <w:pPr>
              <w:pStyle w:val="Compact"/>
            </w:pPr>
            <w:r>
              <w:t xml:space="preserve">[58†L723-L731][58†L739-L748]</w:t>
            </w:r>
          </w:p>
        </w:tc>
      </w:tr>
      <w:tr>
        <w:tc>
          <w:tcPr/>
          <w:p>
            <w:pPr>
              <w:pStyle w:val="Compact"/>
            </w:pPr>
            <w:r>
              <w:t xml:space="preserve">Rule 7(2)</w:t>
            </w:r>
          </w:p>
        </w:tc>
        <w:tc>
          <w:tcPr/>
          <w:p>
            <w:pPr>
              <w:pStyle w:val="Compact"/>
            </w:pPr>
            <w:r>
              <w:t xml:space="preserve">Numeral and letter size</w:t>
            </w:r>
          </w:p>
        </w:tc>
        <w:tc>
          <w:tcPr/>
          <w:p>
            <w:pPr>
              <w:pStyle w:val="Compact"/>
            </w:pPr>
            <w:r>
              <w:t xml:space="preserve">“The height of any numeral… shall not be less than – (i) as shown in Table-I, if the net quantity is in weight/volume; (ii) as shown in Table-II, if in length/area/number.”【39†L387-L396】【40†L417-L425】</w:t>
            </w:r>
          </w:p>
        </w:tc>
        <w:tc>
          <w:tcPr/>
          <w:p>
            <w:pPr>
              <w:pStyle w:val="Compact"/>
            </w:pPr>
            <w:r>
              <w:t xml:space="preserve">All numeric declarations (qty, price, date)</w:t>
            </w:r>
          </w:p>
        </w:tc>
        <w:tc>
          <w:tcPr/>
          <w:p>
            <w:pPr>
              <w:pStyle w:val="Compact"/>
            </w:pPr>
            <w:r>
              <w:t xml:space="preserve">See Table I/II: e.g. net qty ≤200 g: ≥1 mm (2 mm if embossed); ≤100 cm² area: ≥1 mm【39†L387-L396】【40†L421-L429】</w:t>
            </w:r>
          </w:p>
        </w:tc>
        <w:tc>
          <w:tcPr/>
          <w:p>
            <w:pPr>
              <w:pStyle w:val="Compact"/>
            </w:pPr>
            <w:r>
              <w:t xml:space="preserve">PDP (implied).</w:t>
            </w:r>
          </w:p>
        </w:tc>
        <w:tc>
          <w:tcPr/>
          <w:p>
            <w:pPr>
              <w:pStyle w:val="Compact"/>
            </w:pPr>
            <w:r>
              <w:t xml:space="preserve">Other laws exemption: if another law prescribes size【40†L439-L443】.</w:t>
            </w:r>
          </w:p>
        </w:tc>
        <w:tc>
          <w:tcPr/>
          <w:p>
            <w:pPr>
              <w:pStyle w:val="Compact"/>
            </w:pPr>
            <w:r>
              <w:t xml:space="preserve">Violation: fine (Sec 36)</w:t>
            </w:r>
          </w:p>
        </w:tc>
        <w:tc>
          <w:tcPr/>
          <w:p>
            <w:pPr>
              <w:pStyle w:val="Compact"/>
            </w:pPr>
            <w:r>
              <w:t xml:space="preserve">13 Apr 2011 (Rule 7)</w:t>
            </w:r>
          </w:p>
        </w:tc>
        <w:tc>
          <w:tcPr/>
          <w:p>
            <w:pPr>
              <w:pStyle w:val="Compact"/>
            </w:pPr>
            <w:r>
              <w:t xml:space="preserve">[39†L387-L396][40†L439-L443]</w:t>
            </w:r>
          </w:p>
        </w:tc>
      </w:tr>
      <w:tr>
        <w:tc>
          <w:tcPr/>
          <w:p>
            <w:pPr>
              <w:pStyle w:val="Compact"/>
            </w:pPr>
            <w:r>
              <w:t xml:space="preserve">Rule 8(1)</w:t>
            </w:r>
          </w:p>
        </w:tc>
        <w:tc>
          <w:tcPr/>
          <w:p>
            <w:pPr>
              <w:pStyle w:val="Compact"/>
            </w:pPr>
            <w:r>
              <w:t xml:space="preserve">Principal Display Panel</w:t>
            </w:r>
          </w:p>
        </w:tc>
        <w:tc>
          <w:tcPr/>
          <w:p>
            <w:pPr>
              <w:pStyle w:val="Compact"/>
            </w:pPr>
            <w:r>
              <w:t xml:space="preserve">“Every declaration… shall appear on the principal display panel.”【40†L444-L452】</w:t>
            </w:r>
          </w:p>
        </w:tc>
        <w:tc>
          <w:tcPr/>
          <w:p>
            <w:pPr>
              <w:pStyle w:val="Compact"/>
            </w:pPr>
            <w:r>
              <w:t xml:space="preserve">All retail packages</w:t>
            </w:r>
          </w:p>
        </w:tc>
        <w:tc>
          <w:tcPr/>
          <w:p>
            <w:pPr>
              <w:pStyle w:val="Compact"/>
            </w:pPr>
            <w:r>
              <w:t xml:space="preserve">Must be clearly on the package’s main panel (largest flat surface facing consumer).</w:t>
            </w:r>
          </w:p>
        </w:tc>
        <w:tc>
          <w:tcPr/>
          <w:p>
            <w:pPr>
              <w:pStyle w:val="Compact"/>
            </w:pPr>
            <w:r>
              <w:t xml:space="preserve">PDP (no other printed matter above/below the quantity; clear space ≥ height ×1 vertically, ×2 horizontally【40†L444-L452】)</w:t>
            </w:r>
          </w:p>
        </w:tc>
        <w:tc>
          <w:tcPr/>
          <w:p>
            <w:pPr>
              <w:pStyle w:val="Compact"/>
            </w:pPr>
            <w:r>
              <w:t xml:space="preserve">—</w:t>
            </w:r>
          </w:p>
        </w:tc>
        <w:tc>
          <w:tcPr/>
          <w:p>
            <w:pPr>
              <w:pStyle w:val="Compact"/>
            </w:pPr>
            <w:r>
              <w:t xml:space="preserve">Violation: fine (Sec 36)</w:t>
            </w:r>
          </w:p>
        </w:tc>
        <w:tc>
          <w:tcPr/>
          <w:p>
            <w:pPr>
              <w:pStyle w:val="Compact"/>
            </w:pPr>
            <w:r>
              <w:t xml:space="preserve">13 Apr 2011 (Rule 8)</w:t>
            </w:r>
          </w:p>
        </w:tc>
        <w:tc>
          <w:tcPr/>
          <w:p>
            <w:pPr>
              <w:pStyle w:val="Compact"/>
            </w:pPr>
            <w:r>
              <w:t xml:space="preserve">[40†L444-L452]</w:t>
            </w:r>
          </w:p>
        </w:tc>
      </w:tr>
      <w:tr>
        <w:tc>
          <w:tcPr/>
          <w:p>
            <w:pPr>
              <w:pStyle w:val="Compact"/>
            </w:pPr>
            <w:r>
              <w:t xml:space="preserve">Rule 9(1–2)</w:t>
            </w:r>
          </w:p>
        </w:tc>
        <w:tc>
          <w:tcPr/>
          <w:p>
            <w:pPr>
              <w:pStyle w:val="Compact"/>
            </w:pPr>
            <w:r>
              <w:t xml:space="preserve">Legibility &amp; contrast</w:t>
            </w:r>
          </w:p>
        </w:tc>
        <w:tc>
          <w:tcPr/>
          <w:p>
            <w:pPr>
              <w:pStyle w:val="Compact"/>
            </w:pPr>
            <w:r>
              <w:t xml:space="preserve">Numerals of MRP &amp; net qty “shall be… in a colour that contrasts conspicuously with the background”【58†L839-L844】; all declarations must be “legible and prominent.” Legibility allowed in Hindi or English【42†L502-L510】.</w:t>
            </w:r>
          </w:p>
        </w:tc>
        <w:tc>
          <w:tcPr/>
          <w:p>
            <w:pPr>
              <w:pStyle w:val="Compact"/>
            </w:pPr>
            <w:r>
              <w:t xml:space="preserve">All retail packages</w:t>
            </w:r>
          </w:p>
        </w:tc>
        <w:tc>
          <w:tcPr/>
          <w:p>
            <w:pPr>
              <w:pStyle w:val="Compact"/>
            </w:pPr>
            <w:r>
              <w:t xml:space="preserve">Printed/painted text must stand out. Handwritten info (if any) must be clear.</w:t>
            </w:r>
          </w:p>
        </w:tc>
        <w:tc>
          <w:tcPr/>
          <w:p>
            <w:pPr>
              <w:pStyle w:val="Compact"/>
            </w:pPr>
            <w:r>
              <w:t xml:space="preserve">PDP; any label info, if embossed/blown on glass, contrast rule waived【58†L839-L844】.</w:t>
            </w:r>
          </w:p>
        </w:tc>
        <w:tc>
          <w:tcPr/>
          <w:p>
            <w:pPr>
              <w:pStyle w:val="Compact"/>
            </w:pPr>
            <w:r>
              <w:t xml:space="preserve">—</w:t>
            </w:r>
          </w:p>
        </w:tc>
        <w:tc>
          <w:tcPr/>
          <w:p>
            <w:pPr>
              <w:pStyle w:val="Compact"/>
            </w:pPr>
            <w:r>
              <w:t xml:space="preserve">Violation: fine (Sec 36)</w:t>
            </w:r>
          </w:p>
        </w:tc>
        <w:tc>
          <w:tcPr/>
          <w:p>
            <w:pPr>
              <w:pStyle w:val="Compact"/>
            </w:pPr>
            <w:r>
              <w:t xml:space="preserve">13 Apr 2011 (Rule 9–10)</w:t>
            </w:r>
          </w:p>
        </w:tc>
        <w:tc>
          <w:tcPr/>
          <w:p>
            <w:pPr>
              <w:pStyle w:val="Compact"/>
            </w:pPr>
            <w:r>
              <w:t xml:space="preserve">[58†L839-L844][42†L502-L510]</w:t>
            </w:r>
          </w:p>
        </w:tc>
      </w:tr>
      <w:tr>
        <w:tc>
          <w:tcPr/>
          <w:p>
            <w:pPr>
              <w:pStyle w:val="Compact"/>
            </w:pPr>
            <w:r>
              <w:t xml:space="preserve">Rule 6(3–4)</w:t>
            </w:r>
          </w:p>
        </w:tc>
        <w:tc>
          <w:tcPr/>
          <w:p>
            <w:pPr>
              <w:pStyle w:val="Compact"/>
            </w:pPr>
            <w:r>
              <w:t xml:space="preserve">Stickers/Corrections</w:t>
            </w:r>
          </w:p>
        </w:tc>
        <w:tc>
          <w:tcPr/>
          <w:p>
            <w:pPr>
              <w:pStyle w:val="Compact"/>
            </w:pPr>
            <w:r>
              <w:t xml:space="preserve">(3) “not permissible to affix individual stickers…for declarations required under these rules.”【38†L339-L347】;</w:t>
            </w:r>
            <w:r>
              <w:t xml:space="preserve"> </w:t>
            </w:r>
            <w:r>
              <w:rPr>
                <w:i/>
                <w:iCs/>
              </w:rPr>
              <w:t xml:space="preserve">Exception</w:t>
            </w:r>
            <w:r>
              <w:t xml:space="preserve">: MRP reduction stickers allowed (lower MRP)【38†L339-L347】. (4) Stickers allowed for</w:t>
            </w:r>
            <w:r>
              <w:t xml:space="preserve"> </w:t>
            </w:r>
            <w:r>
              <w:rPr>
                <w:b/>
                <w:bCs/>
              </w:rPr>
              <w:t xml:space="preserve">other</w:t>
            </w:r>
            <w:r>
              <w:t xml:space="preserve"> </w:t>
            </w:r>
            <w:r>
              <w:t xml:space="preserve">info.</w:t>
            </w:r>
          </w:p>
        </w:tc>
        <w:tc>
          <w:tcPr/>
          <w:p>
            <w:pPr>
              <w:pStyle w:val="Compact"/>
            </w:pPr>
            <w:r>
              <w:t xml:space="preserve">All retail packages</w:t>
            </w:r>
          </w:p>
        </w:tc>
        <w:tc>
          <w:tcPr/>
          <w:p>
            <w:pPr>
              <w:pStyle w:val="Compact"/>
            </w:pPr>
            <w:r>
              <w:t xml:space="preserve">Stickers</w:t>
            </w:r>
            <w:r>
              <w:t xml:space="preserve"> </w:t>
            </w:r>
            <w:r>
              <w:rPr>
                <w:b/>
                <w:bCs/>
              </w:rPr>
              <w:t xml:space="preserve">cannot cover</w:t>
            </w:r>
            <w:r>
              <w:t xml:space="preserve"> </w:t>
            </w:r>
            <w:r>
              <w:t xml:space="preserve">original declarations except as above.</w:t>
            </w:r>
          </w:p>
        </w:tc>
        <w:tc>
          <w:tcPr/>
          <w:p>
            <w:pPr>
              <w:pStyle w:val="Compact"/>
            </w:pPr>
            <w:r>
              <w:t xml:space="preserve">—</w:t>
            </w:r>
          </w:p>
        </w:tc>
        <w:tc>
          <w:tcPr/>
          <w:p>
            <w:pPr>
              <w:pStyle w:val="Compact"/>
            </w:pPr>
            <w:r>
              <w:t xml:space="preserve">—</w:t>
            </w:r>
          </w:p>
        </w:tc>
        <w:tc>
          <w:tcPr/>
          <w:p>
            <w:pPr>
              <w:pStyle w:val="Compact"/>
            </w:pPr>
            <w:r>
              <w:t xml:space="preserve">Violation: fine (Sec 36)</w:t>
            </w:r>
          </w:p>
        </w:tc>
        <w:tc>
          <w:tcPr/>
          <w:p>
            <w:pPr>
              <w:pStyle w:val="Compact"/>
            </w:pPr>
            <w:r>
              <w:t xml:space="preserve">07 Mar 2011 (Rule 6)</w:t>
            </w:r>
          </w:p>
        </w:tc>
        <w:tc>
          <w:tcPr/>
          <w:p>
            <w:pPr>
              <w:pStyle w:val="Compact"/>
            </w:pPr>
            <w:r>
              <w:t xml:space="preserve">[38†L339-L347]</w:t>
            </w:r>
          </w:p>
        </w:tc>
      </w:tr>
      <w:tr>
        <w:tc>
          <w:tcPr/>
          <w:p>
            <w:pPr>
              <w:pStyle w:val="Compact"/>
            </w:pPr>
            <w:r>
              <w:t xml:space="preserve">Rule 6(5)</w:t>
            </w:r>
          </w:p>
        </w:tc>
        <w:tc>
          <w:tcPr/>
          <w:p>
            <w:pPr>
              <w:pStyle w:val="Compact"/>
            </w:pPr>
            <w:r>
              <w:t xml:space="preserve">Multi-pack declaration</w:t>
            </w:r>
          </w:p>
        </w:tc>
        <w:tc>
          <w:tcPr/>
          <w:p>
            <w:pPr>
              <w:pStyle w:val="Compact"/>
            </w:pPr>
            <w:r>
              <w:t xml:space="preserve">“Where a commodity consists of a number of components…for sale as a single commodity, the declaration…shall appear on the main package and such package shall also carry information about the other accompanying packages”【38†L351-L359】</w:t>
            </w:r>
          </w:p>
        </w:tc>
        <w:tc>
          <w:tcPr/>
          <w:p>
            <w:pPr>
              <w:pStyle w:val="Compact"/>
            </w:pPr>
            <w:r>
              <w:t xml:space="preserve">Multi-piece goods (toys, appliances)</w:t>
            </w:r>
          </w:p>
        </w:tc>
        <w:tc>
          <w:tcPr/>
          <w:p>
            <w:pPr>
              <w:pStyle w:val="Compact"/>
            </w:pPr>
            <w:r>
              <w:t xml:space="preserve">Main package must list net qty and other declarations, plus indicate other parts (or each part labeled).</w:t>
            </w:r>
          </w:p>
        </w:tc>
        <w:tc>
          <w:tcPr/>
          <w:p>
            <w:pPr>
              <w:pStyle w:val="Compact"/>
            </w:pPr>
            <w:r>
              <w:t xml:space="preserve">PDP (main package)</w:t>
            </w:r>
          </w:p>
        </w:tc>
        <w:tc>
          <w:tcPr/>
          <w:p>
            <w:pPr>
              <w:pStyle w:val="Compact"/>
            </w:pPr>
            <w:r>
              <w:t xml:space="preserve">—</w:t>
            </w:r>
          </w:p>
        </w:tc>
        <w:tc>
          <w:tcPr/>
          <w:p>
            <w:pPr>
              <w:pStyle w:val="Compact"/>
            </w:pPr>
            <w:r>
              <w:t xml:space="preserve">Violation: fine (Sec 36)</w:t>
            </w:r>
          </w:p>
        </w:tc>
        <w:tc>
          <w:tcPr/>
          <w:p>
            <w:pPr>
              <w:pStyle w:val="Compact"/>
            </w:pPr>
            <w:r>
              <w:t xml:space="preserve">07 Mar 2011 (Rule 6)</w:t>
            </w:r>
          </w:p>
        </w:tc>
        <w:tc>
          <w:tcPr/>
          <w:p>
            <w:pPr>
              <w:pStyle w:val="Compact"/>
            </w:pPr>
            <w:r>
              <w:t xml:space="preserve">[38†L351-L359]</w:t>
            </w:r>
          </w:p>
        </w:tc>
      </w:tr>
      <w:tr>
        <w:tc>
          <w:tcPr/>
          <w:p>
            <w:pPr>
              <w:pStyle w:val="Compact"/>
            </w:pPr>
            <w:r>
              <w:t xml:space="preserve">Rule 6(7)</w:t>
            </w:r>
          </w:p>
        </w:tc>
        <w:tc>
          <w:tcPr/>
          <w:p>
            <w:pPr>
              <w:pStyle w:val="Compact"/>
            </w:pPr>
            <w:r>
              <w:t xml:space="preserve">GM &amp; Cosmetics symbols</w:t>
            </w:r>
          </w:p>
        </w:tc>
        <w:tc>
          <w:tcPr/>
          <w:p>
            <w:pPr>
              <w:pStyle w:val="Compact"/>
            </w:pPr>
            <w:r>
              <w:t xml:space="preserve">“Every package containing GM food shall bear ‘GM’ at top of PDP; toothpaste/shampoo/cosmetics shall bear a red or brown dot at top of PDP.”【60†L658-L664】</w:t>
            </w:r>
          </w:p>
        </w:tc>
        <w:tc>
          <w:tcPr/>
          <w:p>
            <w:pPr>
              <w:pStyle w:val="Compact"/>
            </w:pPr>
            <w:r>
              <w:t xml:space="preserve">GM foods; certain cosmetics/toiletries</w:t>
            </w:r>
          </w:p>
        </w:tc>
        <w:tc>
          <w:tcPr/>
          <w:p>
            <w:pPr>
              <w:pStyle w:val="Compact"/>
            </w:pPr>
            <w:r>
              <w:t xml:space="preserve">Mandatory “GM” marker; green/red dot for vegetarian/non-veg cosmetics (as per Food Safety Act)【60†L658-L664】.</w:t>
            </w:r>
          </w:p>
        </w:tc>
        <w:tc>
          <w:tcPr/>
          <w:p>
            <w:pPr>
              <w:pStyle w:val="Compact"/>
            </w:pPr>
            <w:r>
              <w:t xml:space="preserve">PDP top area</w:t>
            </w:r>
          </w:p>
        </w:tc>
        <w:tc>
          <w:tcPr/>
          <w:p>
            <w:pPr>
              <w:pStyle w:val="Compact"/>
            </w:pPr>
            <w:r>
              <w:t xml:space="preserve">—</w:t>
            </w:r>
          </w:p>
        </w:tc>
        <w:tc>
          <w:tcPr/>
          <w:p>
            <w:pPr>
              <w:pStyle w:val="Compact"/>
            </w:pPr>
            <w:r>
              <w:t xml:space="preserve">Violation: fine (Sec 36)</w:t>
            </w:r>
          </w:p>
        </w:tc>
        <w:tc>
          <w:tcPr/>
          <w:p>
            <w:pPr>
              <w:pStyle w:val="Compact"/>
            </w:pPr>
            <w:r>
              <w:t xml:space="preserve">16 Jun 2014 (amend)</w:t>
            </w:r>
          </w:p>
        </w:tc>
        <w:tc>
          <w:tcPr/>
          <w:p>
            <w:pPr>
              <w:pStyle w:val="Compact"/>
            </w:pPr>
            <w:r>
              <w:t xml:space="preserve">[60†L658-L664]</w:t>
            </w:r>
          </w:p>
        </w:tc>
      </w:tr>
      <w:tr>
        <w:tc>
          <w:tcPr/>
          <w:p>
            <w:pPr>
              <w:pStyle w:val="Compact"/>
            </w:pPr>
            <w:r>
              <w:rPr>
                <w:b/>
                <w:bCs/>
              </w:rPr>
              <w:t xml:space="preserve">Exemption</w:t>
            </w:r>
          </w:p>
        </w:tc>
        <w:tc>
          <w:tcPr/>
          <w:p>
            <w:pPr>
              <w:pStyle w:val="Compact"/>
            </w:pPr>
            <w:r>
              <w:rPr>
                <w:b/>
                <w:bCs/>
              </w:rPr>
              <w:t xml:space="preserve">Net weight ≤10 g or 10 ml</w:t>
            </w:r>
          </w:p>
        </w:tc>
        <w:tc>
          <w:tcPr/>
          <w:p>
            <w:pPr>
              <w:pStyle w:val="Compact"/>
            </w:pPr>
            <w:r>
              <w:t xml:space="preserve">“Nothing in these rules shall apply to… net weight or measure…10 g or 10 ml or less.”【71†L1540-L1548】</w:t>
            </w:r>
          </w:p>
        </w:tc>
        <w:tc>
          <w:tcPr/>
          <w:p>
            <w:pPr>
              <w:pStyle w:val="Compact"/>
            </w:pPr>
            <w:r>
              <w:t xml:space="preserve">Very small packages</w:t>
            </w:r>
          </w:p>
        </w:tc>
        <w:tc>
          <w:tcPr/>
          <w:p>
            <w:pPr>
              <w:pStyle w:val="Compact"/>
            </w:pPr>
            <w:r>
              <w:t xml:space="preserve">—</w:t>
            </w:r>
          </w:p>
        </w:tc>
        <w:tc>
          <w:tcPr/>
          <w:p>
            <w:pPr>
              <w:pStyle w:val="Compact"/>
            </w:pPr>
            <w:r>
              <w:t xml:space="preserve">—</w:t>
            </w:r>
          </w:p>
        </w:tc>
        <w:tc>
          <w:tcPr/>
          <w:p>
            <w:pPr>
              <w:pStyle w:val="Compact"/>
            </w:pPr>
            <w:r>
              <w:t xml:space="preserve">Applies only to non-tobacco products【71†L1540-L1545】.</w:t>
            </w:r>
          </w:p>
        </w:tc>
        <w:tc>
          <w:tcPr/>
          <w:p>
            <w:pPr>
              <w:pStyle w:val="Compact"/>
            </w:pPr>
            <w:r>
              <w:t xml:space="preserve">— (no labeling requirement)</w:t>
            </w:r>
          </w:p>
        </w:tc>
        <w:tc>
          <w:tcPr/>
          <w:p>
            <w:pPr>
              <w:pStyle w:val="Compact"/>
            </w:pPr>
            <w:r>
              <w:t xml:space="preserve">07 Mar 2011 (Rule 26(a))</w:t>
            </w:r>
          </w:p>
        </w:tc>
        <w:tc>
          <w:tcPr/>
          <w:p>
            <w:pPr>
              <w:pStyle w:val="Compact"/>
            </w:pPr>
            <w:r>
              <w:t xml:space="preserve">[71†L1540-L1545]</w:t>
            </w:r>
          </w:p>
        </w:tc>
      </w:tr>
      <w:tr>
        <w:tc>
          <w:tcPr/>
          <w:p>
            <w:pPr>
              <w:pStyle w:val="Compact"/>
            </w:pPr>
            <w:r>
              <w:rPr>
                <w:b/>
                <w:bCs/>
              </w:rPr>
              <w:t xml:space="preserve">Exemption</w:t>
            </w:r>
          </w:p>
        </w:tc>
        <w:tc>
          <w:tcPr/>
          <w:p>
            <w:pPr>
              <w:pStyle w:val="Compact"/>
            </w:pPr>
            <w:r>
              <w:rPr>
                <w:b/>
                <w:bCs/>
              </w:rPr>
              <w:t xml:space="preserve">Restaurant/fast-food packages</w:t>
            </w:r>
          </w:p>
        </w:tc>
        <w:tc>
          <w:tcPr/>
          <w:p>
            <w:pPr>
              <w:pStyle w:val="Compact"/>
            </w:pPr>
            <w:r>
              <w:t xml:space="preserve">“any package containing fast food items packed by restaurant or hotel and the like”【71†L1547-L1555】</w:t>
            </w:r>
          </w:p>
        </w:tc>
        <w:tc>
          <w:tcPr/>
          <w:p>
            <w:pPr>
              <w:pStyle w:val="Compact"/>
            </w:pPr>
            <w:r>
              <w:t xml:space="preserve">Restaurant/takeaway food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(no LMPC labels)</w:t>
            </w:r>
          </w:p>
        </w:tc>
        <w:tc>
          <w:tcPr/>
          <w:p>
            <w:pPr>
              <w:pStyle w:val="Compact"/>
            </w:pPr>
            <w:r>
              <w:t xml:space="preserve">07 Mar 2011 (Rule 26(b))</w:t>
            </w:r>
          </w:p>
        </w:tc>
        <w:tc>
          <w:tcPr/>
          <w:p>
            <w:pPr>
              <w:pStyle w:val="Compact"/>
            </w:pPr>
            <w:r>
              <w:t xml:space="preserve">[71†L1547-L1555]</w:t>
            </w:r>
          </w:p>
        </w:tc>
      </w:tr>
      <w:tr>
        <w:tc>
          <w:tcPr/>
          <w:p>
            <w:pPr>
              <w:pStyle w:val="Compact"/>
            </w:pPr>
            <w:r>
              <w:rPr>
                <w:b/>
                <w:bCs/>
              </w:rPr>
              <w:t xml:space="preserve">Exemption</w:t>
            </w:r>
          </w:p>
        </w:tc>
        <w:tc>
          <w:tcPr/>
          <w:p>
            <w:pPr>
              <w:pStyle w:val="Compact"/>
            </w:pPr>
            <w:r>
              <w:rPr>
                <w:b/>
                <w:bCs/>
              </w:rPr>
              <w:t xml:space="preserve">DPCO drugs</w:t>
            </w:r>
          </w:p>
        </w:tc>
        <w:tc>
          <w:tcPr/>
          <w:p>
            <w:pPr>
              <w:pStyle w:val="Compact"/>
            </w:pPr>
            <w:r>
              <w:t xml:space="preserve">“Contains scheduled formulations under DPCO, 2013”【71†L1550-L1558】</w:t>
            </w:r>
          </w:p>
        </w:tc>
        <w:tc>
          <w:tcPr/>
          <w:p>
            <w:pPr>
              <w:pStyle w:val="Compact"/>
            </w:pPr>
            <w:r>
              <w:t xml:space="preserve">Price-controlled drugs</w:t>
            </w:r>
          </w:p>
        </w:tc>
        <w:tc>
          <w:tcPr/>
          <w:p>
            <w:pPr>
              <w:pStyle w:val="Compact"/>
            </w:pPr>
            <w:r>
              <w:t xml:space="preserve">—</w:t>
            </w:r>
          </w:p>
        </w:tc>
        <w:tc>
          <w:tcPr/>
          <w:p>
            <w:pPr>
              <w:pStyle w:val="Compact"/>
            </w:pPr>
            <w:r>
              <w:t xml:space="preserve">—</w:t>
            </w:r>
          </w:p>
        </w:tc>
        <w:tc>
          <w:tcPr/>
          <w:p>
            <w:pPr>
              <w:pStyle w:val="Compact"/>
            </w:pPr>
            <w:r>
              <w:t xml:space="preserve">Exemption does not apply to medical devices【71†L1553-L1558】.</w:t>
            </w:r>
          </w:p>
        </w:tc>
        <w:tc>
          <w:tcPr/>
          <w:p>
            <w:pPr>
              <w:pStyle w:val="Compact"/>
            </w:pPr>
            <w:r>
              <w:t xml:space="preserve">— (regulated by drug law)</w:t>
            </w:r>
          </w:p>
        </w:tc>
        <w:tc>
          <w:tcPr/>
          <w:p>
            <w:pPr>
              <w:pStyle w:val="Compact"/>
            </w:pPr>
            <w:r>
              <w:t xml:space="preserve">07 Mar 2011 (Rule 26(c))</w:t>
            </w:r>
          </w:p>
        </w:tc>
        <w:tc>
          <w:tcPr/>
          <w:p>
            <w:pPr>
              <w:pStyle w:val="Compact"/>
            </w:pPr>
            <w:r>
              <w:t xml:space="preserve">[71†L1550-L1558]</w:t>
            </w:r>
          </w:p>
        </w:tc>
      </w:tr>
      <w:tr>
        <w:tc>
          <w:tcPr/>
          <w:p>
            <w:pPr>
              <w:pStyle w:val="Compact"/>
            </w:pPr>
            <w:r>
              <w:rPr>
                <w:b/>
                <w:bCs/>
              </w:rPr>
              <w:t xml:space="preserve">Exemption</w:t>
            </w:r>
          </w:p>
        </w:tc>
        <w:tc>
          <w:tcPr/>
          <w:p>
            <w:pPr>
              <w:pStyle w:val="Compact"/>
            </w:pPr>
            <w:r>
              <w:rPr>
                <w:b/>
                <w:bCs/>
              </w:rPr>
              <w:t xml:space="preserve">Weaving thread (coils)</w:t>
            </w:r>
          </w:p>
        </w:tc>
        <w:tc>
          <w:tcPr/>
          <w:p>
            <w:pPr>
              <w:pStyle w:val="Compact"/>
            </w:pPr>
            <w:r>
              <w:t xml:space="preserve">“any thread which is sold in coil to handloom weavers”【71†L1558-L1564】</w:t>
            </w:r>
          </w:p>
        </w:tc>
        <w:tc>
          <w:tcPr/>
          <w:p>
            <w:pPr>
              <w:pStyle w:val="Compact"/>
            </w:pPr>
            <w:r>
              <w:t xml:space="preserve">Textile thread sold loose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07 Mar 2011 (Rule 26(e))</w:t>
            </w:r>
          </w:p>
        </w:tc>
        <w:tc>
          <w:tcPr/>
          <w:p>
            <w:pPr>
              <w:pStyle w:val="Compact"/>
            </w:pPr>
            <w:r>
              <w:t xml:space="preserve">[71†L1558-L1564]</w:t>
            </w:r>
          </w:p>
        </w:tc>
      </w:tr>
      <w:tr>
        <w:tc>
          <w:tcPr/>
          <w:p>
            <w:pPr>
              <w:pStyle w:val="Compact"/>
            </w:pPr>
            <w:r>
              <w:rPr>
                <w:b/>
                <w:bCs/>
              </w:rPr>
              <w:t xml:space="preserve">Exemption</w:t>
            </w:r>
          </w:p>
        </w:tc>
        <w:tc>
          <w:tcPr/>
          <w:p>
            <w:pPr>
              <w:pStyle w:val="Compact"/>
            </w:pPr>
            <w:r>
              <w:rPr>
                <w:b/>
                <w:bCs/>
              </w:rPr>
              <w:t xml:space="preserve">Loose garments/hosiery</w:t>
            </w:r>
          </w:p>
        </w:tc>
        <w:tc>
          <w:tcPr/>
          <w:p>
            <w:pPr>
              <w:pStyle w:val="Compact"/>
            </w:pPr>
            <w:r>
              <w:t xml:space="preserve">“garment or hosiery sold in loose or open”【71†L1558-L1564】; only</w:t>
            </w:r>
            <w:r>
              <w:t xml:space="preserve"> </w:t>
            </w:r>
            <w:r>
              <w:rPr>
                <w:b/>
                <w:bCs/>
              </w:rPr>
              <w:t xml:space="preserve">required</w:t>
            </w:r>
            <w:r>
              <w:t xml:space="preserve">: name/address + country of origin, consumer-care, size indicator, MRP【71†L1566-L1574】</w:t>
            </w:r>
          </w:p>
        </w:tc>
        <w:tc>
          <w:tcPr/>
          <w:p>
            <w:pPr>
              <w:pStyle w:val="Compact"/>
            </w:pPr>
            <w:r>
              <w:t xml:space="preserve">Loose apparel at point-of-sale</w:t>
            </w:r>
          </w:p>
        </w:tc>
        <w:tc>
          <w:tcPr/>
          <w:p>
            <w:pPr>
              <w:pStyle w:val="Compact"/>
            </w:pPr>
            <w:r>
              <w:t xml:space="preserve">Sizes in metric (cm/m) or standard S/M/L/XL format; MRP inclusive taxes【71†L1566-L1574】</w:t>
            </w:r>
          </w:p>
        </w:tc>
        <w:tc>
          <w:tcPr/>
          <w:p>
            <w:pPr>
              <w:pStyle w:val="Compact"/>
            </w:pPr>
            <w:r>
              <w:t xml:space="preserve">—</w:t>
            </w:r>
          </w:p>
        </w:tc>
        <w:tc>
          <w:tcPr/>
          <w:p>
            <w:pPr>
              <w:pStyle w:val="Compact"/>
            </w:pPr>
            <w:r>
              <w:t xml:space="preserve">All other LMPC declarations exempt【62†L41-L49】.</w:t>
            </w:r>
          </w:p>
        </w:tc>
        <w:tc>
          <w:tcPr/>
          <w:p>
            <w:pPr>
              <w:pStyle w:val="Compact"/>
            </w:pPr>
            <w:r>
              <w:t xml:space="preserve">—</w:t>
            </w:r>
          </w:p>
        </w:tc>
        <w:tc>
          <w:tcPr/>
          <w:p>
            <w:pPr>
              <w:pStyle w:val="Compact"/>
            </w:pPr>
            <w:r>
              <w:t xml:space="preserve">25 Aug 2022 (amend)</w:t>
            </w:r>
          </w:p>
        </w:tc>
        <w:tc>
          <w:tcPr/>
          <w:p>
            <w:pPr>
              <w:pStyle w:val="Compact"/>
            </w:pPr>
            <w:r>
              <w:t xml:space="preserve">[71†L1566-L1574][62†L41-L49]</w:t>
            </w:r>
          </w:p>
        </w:tc>
      </w:tr>
      <w:tr>
        <w:tc>
          <w:tcPr/>
          <w:p>
            <w:pPr>
              <w:pStyle w:val="Compact"/>
            </w:pPr>
            <w:r>
              <w:rPr>
                <w:b/>
                <w:bCs/>
              </w:rPr>
              <w:t xml:space="preserve">Exemption</w:t>
            </w:r>
          </w:p>
        </w:tc>
        <w:tc>
          <w:tcPr/>
          <w:p>
            <w:pPr>
              <w:pStyle w:val="Compact"/>
            </w:pPr>
            <w:r>
              <w:rPr>
                <w:b/>
                <w:bCs/>
              </w:rPr>
              <w:t xml:space="preserve">E-com. loose delivery</w:t>
            </w:r>
          </w:p>
        </w:tc>
        <w:tc>
          <w:tcPr/>
          <w:p>
            <w:pPr>
              <w:pStyle w:val="Compact"/>
            </w:pPr>
            <w:r>
              <w:t xml:space="preserve">“loose commodities ordered through e-commerce… consumers aware of quantity”【71†L1595-L1605】; must still display name+address+origin, cons-care, MRP, net qty【71†L1599-L1607】</w:t>
            </w:r>
          </w:p>
        </w:tc>
        <w:tc>
          <w:tcPr/>
          <w:p>
            <w:pPr>
              <w:pStyle w:val="Compact"/>
            </w:pPr>
            <w:r>
              <w:t xml:space="preserve">e-Commerce sold loose items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25 Aug 2022 (amend)</w:t>
            </w:r>
          </w:p>
        </w:tc>
        <w:tc>
          <w:tcPr/>
          <w:p>
            <w:pPr>
              <w:pStyle w:val="Compact"/>
            </w:pPr>
            <w:r>
              <w:t xml:space="preserve">[71†L1595-L1605]</w:t>
            </w:r>
          </w:p>
        </w:tc>
      </w:tr>
    </w:tbl>
    <w:p>
      <w:pPr>
        <w:pStyle w:val="BodyText"/>
      </w:pPr>
      <w:r>
        <w:rPr>
          <w:i/>
          <w:iCs/>
        </w:rPr>
        <w:t xml:space="preserve">(Rows above are illustrative samples. A full table with 30–50 checks (including these and others such as font size formulas and registration rules) should be compiled for the development team.)</w:t>
      </w:r>
    </w:p>
    <w:bookmarkEnd w:id="10"/>
    <w:bookmarkStart w:id="11" w:name="rule-engine-flow-mermaid"/>
    <w:p>
      <w:pPr>
        <w:pStyle w:val="Heading2"/>
      </w:pPr>
      <w:r>
        <w:t xml:space="preserve">Rule-Engine Flow (Mermaid)</w:t>
      </w:r>
    </w:p>
    <w:p>
      <w:pPr>
        <w:pStyle w:val="FirstParagraph"/>
      </w:pPr>
      <w:r>
        <w:t xml:space="preserve">The following flowchart illustrates the high-level process of rule extraction, applicability filtering, and validation logic in the compliance engine:</w:t>
      </w:r>
    </w:p>
    <w:p>
      <w:pPr>
        <w:pStyle w:val="SourceCode"/>
      </w:pPr>
      <w:r>
        <w:rPr>
          <w:rStyle w:val="VerbatimChar"/>
        </w:rPr>
        <w:t xml:space="preserve">flowchart LR</w:t>
      </w:r>
      <w:r>
        <w:br/>
      </w:r>
      <w:r>
        <w:rPr>
          <w:rStyle w:val="VerbatimChar"/>
        </w:rPr>
        <w:t xml:space="preserve">    A[Input: Product label image / data] --&gt; B[OCR/Text Extraction]</w:t>
      </w:r>
      <w:r>
        <w:br/>
      </w:r>
      <w:r>
        <w:rPr>
          <w:rStyle w:val="VerbatimChar"/>
        </w:rPr>
        <w:t xml:space="preserve">    B --&gt; C[Parse fields (name, qty, price, date, etc.)]</w:t>
      </w:r>
      <w:r>
        <w:br/>
      </w:r>
      <w:r>
        <w:rPr>
          <w:rStyle w:val="VerbatimChar"/>
        </w:rPr>
        <w:t xml:space="preserve">    C --&gt; D{Identify Product Category/Type}</w:t>
      </w:r>
      <w:r>
        <w:br/>
      </w:r>
      <w:r>
        <w:rPr>
          <w:rStyle w:val="VerbatimChar"/>
        </w:rPr>
        <w:t xml:space="preserve">    D --&gt; E[Fetch Applicable LMPC Rules]</w:t>
      </w:r>
      <w:r>
        <w:br/>
      </w:r>
      <w:r>
        <w:rPr>
          <w:rStyle w:val="VerbatimChar"/>
        </w:rPr>
        <w:t xml:space="preserve">    E --&gt; F{Validate each mandatory field}</w:t>
      </w:r>
      <w:r>
        <w:br/>
      </w:r>
      <w:r>
        <w:rPr>
          <w:rStyle w:val="VerbatimChar"/>
        </w:rPr>
        <w:t xml:space="preserve">    F --&gt; |All checks pass| G[Compliant: Generate 'No Violation' Report]</w:t>
      </w:r>
      <w:r>
        <w:br/>
      </w:r>
      <w:r>
        <w:rPr>
          <w:rStyle w:val="VerbatimChar"/>
        </w:rPr>
        <w:t xml:space="preserve">    F --&gt; |Any violation| H[Non-compliant: Generate Violation Report]</w:t>
      </w:r>
      <w:r>
        <w:br/>
      </w:r>
      <w:r>
        <w:rPr>
          <w:rStyle w:val="VerbatimChar"/>
        </w:rPr>
        <w:t xml:space="preserve">    G --&gt; I[Log compliance status]</w:t>
      </w:r>
      <w:r>
        <w:br/>
      </w:r>
      <w:r>
        <w:rPr>
          <w:rStyle w:val="VerbatimChar"/>
        </w:rPr>
        <w:t xml:space="preserve">    H --&gt; J[Attach violation evidence (image snippets, text)]</w:t>
      </w:r>
      <w:r>
        <w:br/>
      </w:r>
      <w:r>
        <w:rPr>
          <w:rStyle w:val="VerbatimChar"/>
        </w:rPr>
        <w:t xml:space="preserve">    I &amp; J --&gt; K[Dashboard Update]</w:t>
      </w:r>
    </w:p>
    <w:p>
      <w:pPr>
        <w:pStyle w:val="FirstParagraph"/>
      </w:pPr>
      <w:r>
        <w:t xml:space="preserve">This engine extracts label text (A→B→C), determines the context (D), applies only the relevant rules (E), and systematically checks each requirement (F). Passing all checks yields a compliant report (G), whereas any failed check produces a violation alert (H), complete with supporting evidence.</w:t>
      </w:r>
    </w:p>
    <w:bookmarkEnd w:id="11"/>
    <w:bookmarkStart w:id="12" w:name="top-10-high-impact-checks"/>
    <w:p>
      <w:pPr>
        <w:pStyle w:val="Heading2"/>
      </w:pPr>
      <w:r>
        <w:t xml:space="preserve">Top 10 High-Impact Checks</w:t>
      </w:r>
    </w:p>
    <w:p>
      <w:pPr>
        <w:pStyle w:val="Compact"/>
        <w:numPr>
          <w:ilvl w:val="0"/>
          <w:numId w:val="1001"/>
        </w:numPr>
      </w:pPr>
      <w:r>
        <w:rPr>
          <w:b/>
          <w:bCs/>
        </w:rPr>
        <w:t xml:space="preserve">MRP declaration</w:t>
      </w:r>
      <w:r>
        <w:t xml:space="preserve"> </w:t>
      </w:r>
      <w:r>
        <w:t xml:space="preserve">– Ensure the MRP is present on the package, expressed in ₹ and clearly marked as “Max Retail Price (incl. all taxes)”. This is legally mandatory【60†L520-L529】 and critical for pricing compliance.</w:t>
      </w:r>
    </w:p>
    <w:p>
      <w:pPr>
        <w:pStyle w:val="Compact"/>
        <w:numPr>
          <w:ilvl w:val="0"/>
          <w:numId w:val="1001"/>
        </w:numPr>
      </w:pPr>
      <w:r>
        <w:rPr>
          <w:b/>
          <w:bCs/>
        </w:rPr>
        <w:t xml:space="preserve">Net quantity &amp; unit</w:t>
      </w:r>
      <w:r>
        <w:t xml:space="preserve"> </w:t>
      </w:r>
      <w:r>
        <w:t xml:space="preserve">– Verify presence of net weight/volume or count, in the correct unit (g/kg, ml/l, nos., etc.)【24†L241-L245】. This affects regulatory limits and consumer information.</w:t>
      </w:r>
    </w:p>
    <w:p>
      <w:pPr>
        <w:pStyle w:val="Compact"/>
        <w:numPr>
          <w:ilvl w:val="0"/>
          <w:numId w:val="1001"/>
        </w:numPr>
      </w:pPr>
      <w:r>
        <w:rPr>
          <w:b/>
          <w:bCs/>
        </w:rPr>
        <w:t xml:space="preserve">Generic product name</w:t>
      </w:r>
      <w:r>
        <w:t xml:space="preserve"> </w:t>
      </w:r>
      <w:r>
        <w:t xml:space="preserve">– Check that the common name (e.g. “Masala Powder”) is printed, not just a brand name【24†L236-L240】. Missing generic names mislead consumers.</w:t>
      </w:r>
    </w:p>
    <w:p>
      <w:pPr>
        <w:pStyle w:val="Compact"/>
        <w:numPr>
          <w:ilvl w:val="0"/>
          <w:numId w:val="1001"/>
        </w:numPr>
      </w:pPr>
      <w:r>
        <w:rPr>
          <w:b/>
          <w:bCs/>
        </w:rPr>
        <w:t xml:space="preserve">Manufacturer identity</w:t>
      </w:r>
      <w:r>
        <w:t xml:space="preserve"> </w:t>
      </w:r>
      <w:r>
        <w:t xml:space="preserve">– Confirm the full business name and address (at least city/PIN) of the manufacturer or packer (and importer if any) is on the label【24†L208-L216】. Identifying the responsible party is fundamental to enforcement.</w:t>
      </w:r>
    </w:p>
    <w:p>
      <w:pPr>
        <w:pStyle w:val="Compact"/>
        <w:numPr>
          <w:ilvl w:val="0"/>
          <w:numId w:val="1001"/>
        </w:numPr>
      </w:pPr>
      <w:r>
        <w:rPr>
          <w:b/>
          <w:bCs/>
        </w:rPr>
        <w:t xml:space="preserve">Unit Sale Price</w:t>
      </w:r>
      <w:r>
        <w:t xml:space="preserve"> </w:t>
      </w:r>
      <w:r>
        <w:t xml:space="preserve">– Calculate and verify the “price per unit” (e.g. ₹/kg or ₹/L) matches the declared MRP【58†L723-L731】【58†L739-L748】. This was recently mandated (2022) to aid price comparison; omitting it is a violation.</w:t>
      </w:r>
    </w:p>
    <w:p>
      <w:pPr>
        <w:pStyle w:val="Compact"/>
        <w:numPr>
          <w:ilvl w:val="0"/>
          <w:numId w:val="1001"/>
        </w:numPr>
      </w:pPr>
      <w:r>
        <w:rPr>
          <w:b/>
          <w:bCs/>
        </w:rPr>
        <w:t xml:space="preserve">Consumer-care contact</w:t>
      </w:r>
      <w:r>
        <w:t xml:space="preserve"> </w:t>
      </w:r>
      <w:r>
        <w:t xml:space="preserve">– Ensure a valid telephone and email for consumer complaints is printed【38†L333-L338】. This is essential for product inquiries and is legally required.</w:t>
      </w:r>
    </w:p>
    <w:p>
      <w:pPr>
        <w:pStyle w:val="Compact"/>
        <w:numPr>
          <w:ilvl w:val="0"/>
          <w:numId w:val="1001"/>
        </w:numPr>
      </w:pPr>
      <w:r>
        <w:rPr>
          <w:b/>
          <w:bCs/>
        </w:rPr>
        <w:t xml:space="preserve">Date formatting</w:t>
      </w:r>
      <w:r>
        <w:t xml:space="preserve"> </w:t>
      </w:r>
      <w:r>
        <w:t xml:space="preserve">– Check the manufacturing month/year is present and correctly formatted (e.g. “JAN-2023”)【24†L246-L252】【48†L42-L50】. The rules now require only the manufacture date (older versions allowed “imported” or “pre-packed” but this was simplified【48†L42-L50】).</w:t>
      </w:r>
    </w:p>
    <w:p>
      <w:pPr>
        <w:pStyle w:val="Compact"/>
        <w:numPr>
          <w:ilvl w:val="0"/>
          <w:numId w:val="1001"/>
        </w:numPr>
      </w:pPr>
      <w:r>
        <w:rPr>
          <w:b/>
          <w:bCs/>
        </w:rPr>
        <w:t xml:space="preserve">Best Before/Use By date</w:t>
      </w:r>
      <w:r>
        <w:t xml:space="preserve"> </w:t>
      </w:r>
      <w:r>
        <w:t xml:space="preserve">– For perishable goods, confirm a clear “BEST BEFORE [MM/YYYY]” or “USE BY” declaration【60†L495-L504】. This is legally required for products with limited shelf-life.</w:t>
      </w:r>
    </w:p>
    <w:p>
      <w:pPr>
        <w:pStyle w:val="Compact"/>
        <w:numPr>
          <w:ilvl w:val="0"/>
          <w:numId w:val="1001"/>
        </w:numPr>
      </w:pPr>
      <w:r>
        <w:rPr>
          <w:b/>
          <w:bCs/>
        </w:rPr>
        <w:t xml:space="preserve">Font size &amp; PDP placement</w:t>
      </w:r>
      <w:r>
        <w:t xml:space="preserve"> </w:t>
      </w:r>
      <w:r>
        <w:t xml:space="preserve">– Validate that numeric and text fonts meet minimum size (per Table I/II) and that all required info sits on the principal display panel with proper spacing【39†L387-L396】【40†L444-L452】. Illegible or buried info is non-compliant.</w:t>
      </w:r>
    </w:p>
    <w:p>
      <w:pPr>
        <w:pStyle w:val="Compact"/>
        <w:numPr>
          <w:ilvl w:val="0"/>
          <w:numId w:val="1001"/>
        </w:numPr>
      </w:pPr>
      <w:r>
        <w:rPr>
          <w:b/>
          <w:bCs/>
        </w:rPr>
        <w:t xml:space="preserve">Exemption handling</w:t>
      </w:r>
      <w:r>
        <w:t xml:space="preserve"> </w:t>
      </w:r>
      <w:r>
        <w:t xml:space="preserve">– Correctly skip checks for legally exempt categories (e.g. loose garments, tiny 5 g packs, fast-food packs)【71†L1536-L1548】【62†L41-L49】. Misapplying requirements to exempt cases could cause false positives.</w:t>
      </w:r>
    </w:p>
    <w:p>
      <w:pPr>
        <w:pStyle w:val="FirstParagraph"/>
      </w:pPr>
      <w:r>
        <w:t xml:space="preserve">These checks cover the majority of enforcement actions and support user goals (consumer protection, fair trade). By prioritizing them, the prototype will catch the most common and serious label violations first.</w:t>
      </w:r>
    </w:p>
    <w:bookmarkEnd w:id="12"/>
    <w:bookmarkStart w:id="13" w:name="ambiguities-edge-cases"/>
    <w:p>
      <w:pPr>
        <w:pStyle w:val="Heading2"/>
      </w:pPr>
      <w:r>
        <w:t xml:space="preserve">Ambiguities &amp; Edge-Cases</w:t>
      </w:r>
    </w:p>
    <w:p>
      <w:pPr>
        <w:pStyle w:val="Compact"/>
        <w:numPr>
          <w:ilvl w:val="0"/>
          <w:numId w:val="1002"/>
        </w:numPr>
      </w:pPr>
      <w:r>
        <w:rPr>
          <w:b/>
          <w:bCs/>
        </w:rPr>
        <w:t xml:space="preserve">Country of Origin:</w:t>
      </w:r>
      <w:r>
        <w:t xml:space="preserve"> </w:t>
      </w:r>
      <w:r>
        <w:t xml:space="preserve">The LMPC Rules do not explicitly mandate “country of origin” on label (except via importer address)【24†L208-L216】. However, new regulations (especially for e-commerce) push for it【35†L51-L56】【71†L1566-L1574】. We recommend requiring “Country of Origin” for all imported products in the prototype (conservative default).</w:t>
      </w:r>
    </w:p>
    <w:p>
      <w:pPr>
        <w:pStyle w:val="Compact"/>
        <w:numPr>
          <w:ilvl w:val="0"/>
          <w:numId w:val="1002"/>
        </w:numPr>
      </w:pPr>
      <w:r>
        <w:rPr>
          <w:b/>
          <w:bCs/>
        </w:rPr>
        <w:t xml:space="preserve">Numerical Rounding:</w:t>
      </w:r>
      <w:r>
        <w:t xml:space="preserve"> </w:t>
      </w:r>
      <w:r>
        <w:t xml:space="preserve">The rules allow decimals (e.g. 99.99 g can be “100 g” if rounded)【48†L42-L50】. Tolerance for under/over declaration exists in LM Act (0.5% for most goods). For compliance, any under-declaration beyond tolerance should flag a violation. We advise using the strict interpretation: if OCR value ≠ declared qty (plus tolerance margin), mark it.</w:t>
      </w:r>
    </w:p>
    <w:p>
      <w:pPr>
        <w:pStyle w:val="Compact"/>
        <w:numPr>
          <w:ilvl w:val="0"/>
          <w:numId w:val="1002"/>
        </w:numPr>
      </w:pPr>
      <w:r>
        <w:rPr>
          <w:b/>
          <w:bCs/>
        </w:rPr>
        <w:t xml:space="preserve">Multi-language labels:</w:t>
      </w:r>
      <w:r>
        <w:t xml:space="preserve"> </w:t>
      </w:r>
      <w:r>
        <w:t xml:space="preserve">Labels may contain multiple languages. LMPC requires Hindi or English【42†L502-L510】. Our engine should verify at least one script meets content. Other languages can be ignored for LMPC purposes.</w:t>
      </w:r>
    </w:p>
    <w:p>
      <w:pPr>
        <w:pStyle w:val="Compact"/>
        <w:numPr>
          <w:ilvl w:val="0"/>
          <w:numId w:val="1002"/>
        </w:numPr>
      </w:pPr>
      <w:r>
        <w:rPr>
          <w:b/>
          <w:bCs/>
        </w:rPr>
        <w:t xml:space="preserve">Overlapping Laws:</w:t>
      </w:r>
      <w:r>
        <w:t xml:space="preserve"> </w:t>
      </w:r>
      <w:r>
        <w:t xml:space="preserve">Food Safety Act rules (FSSAI) cover date/best-before labels for foods. If a food package has a “best before” per FSSAI, we accept it; if omitted, we rely on LMPC provisions【60†L495-L504】. We choose a conservative approach: require “best before” unless product is clearly non-perishable.</w:t>
      </w:r>
    </w:p>
    <w:p>
      <w:pPr>
        <w:pStyle w:val="Compact"/>
        <w:numPr>
          <w:ilvl w:val="0"/>
          <w:numId w:val="1002"/>
        </w:numPr>
      </w:pPr>
      <w:r>
        <w:rPr>
          <w:b/>
          <w:bCs/>
        </w:rPr>
        <w:t xml:space="preserve">Stickered MRP:</w:t>
      </w:r>
      <w:r>
        <w:t xml:space="preserve"> </w:t>
      </w:r>
      <w:r>
        <w:t xml:space="preserve">We allow a sticker to replace MRP only if it shows a</w:t>
      </w:r>
      <w:r>
        <w:t xml:space="preserve"> </w:t>
      </w:r>
      <w:r>
        <w:rPr>
          <w:i/>
          <w:iCs/>
        </w:rPr>
        <w:t xml:space="preserve">lower</w:t>
      </w:r>
      <w:r>
        <w:t xml:space="preserve"> </w:t>
      </w:r>
      <w:r>
        <w:t xml:space="preserve">MRP【38†L339-L347】, and the underlying original is not fully covered. Scanned images should show the stickered price and possibly the faint original.</w:t>
      </w:r>
    </w:p>
    <w:p>
      <w:pPr>
        <w:pStyle w:val="Compact"/>
        <w:numPr>
          <w:ilvl w:val="0"/>
          <w:numId w:val="1002"/>
        </w:numPr>
      </w:pPr>
      <w:r>
        <w:rPr>
          <w:b/>
          <w:bCs/>
        </w:rPr>
        <w:t xml:space="preserve">Electronic displays:</w:t>
      </w:r>
      <w:r>
        <w:t xml:space="preserve"> </w:t>
      </w:r>
      <w:r>
        <w:t xml:space="preserve">For products with QR codes (e.g. electronics), certain info (like dimensions) may be offloaded to the QR【60†L543-L548】. We treat a QR-encoded declaration as compliant only if it is explicitly allowed (e.g. dimensions by QR for electronics). Otherwise, all mandatory info must still appear.</w:t>
      </w:r>
    </w:p>
    <w:p>
      <w:pPr>
        <w:pStyle w:val="Compact"/>
        <w:numPr>
          <w:ilvl w:val="0"/>
          <w:numId w:val="1002"/>
        </w:numPr>
      </w:pPr>
      <w:r>
        <w:rPr>
          <w:b/>
          <w:bCs/>
        </w:rPr>
        <w:t xml:space="preserve">Consumer-care email availability:</w:t>
      </w:r>
      <w:r>
        <w:t xml:space="preserve"> </w:t>
      </w:r>
      <w:r>
        <w:t xml:space="preserve">Some small manufacturers may not list an email. The rule says “if available”【38†L333-L338】. We suggest marking missing email as a</w:t>
      </w:r>
      <w:r>
        <w:t xml:space="preserve"> </w:t>
      </w:r>
      <w:r>
        <w:rPr>
          <w:i/>
          <w:iCs/>
        </w:rPr>
        <w:t xml:space="preserve">warning</w:t>
      </w:r>
      <w:r>
        <w:t xml:space="preserve"> </w:t>
      </w:r>
      <w:r>
        <w:t xml:space="preserve">(not fatal) unless required by other regulations.</w:t>
      </w:r>
    </w:p>
    <w:p>
      <w:pPr>
        <w:pStyle w:val="Compact"/>
        <w:numPr>
          <w:ilvl w:val="0"/>
          <w:numId w:val="1002"/>
        </w:numPr>
      </w:pPr>
      <w:r>
        <w:rPr>
          <w:b/>
          <w:bCs/>
        </w:rPr>
        <w:t xml:space="preserve">Clause interpretation:</w:t>
      </w:r>
      <w:r>
        <w:t xml:space="preserve"> </w:t>
      </w:r>
      <w:r>
        <w:t xml:space="preserve">Where the law says “common or generic name”, a brand-name-only label can technically violate this. We implement a rule: if brand name appears without a generic term (e.g. “Apple Syrup” on a cough syrup), flag it. This conservative choice favors consumer clarity.</w:t>
      </w:r>
    </w:p>
    <w:p>
      <w:pPr>
        <w:pStyle w:val="FirstParagraph"/>
      </w:pPr>
      <w:r>
        <w:t xml:space="preserve">In all cases of legal ambiguity, the prototype will err on the side of requiring information, ensuring that any non-plain or missing declaration is treated as a violation unless clearly exempted by these rules【62†L41-L49】【71†L1536-L1544】.</w:t>
      </w:r>
    </w:p>
    <w:p>
      <w:pPr>
        <w:pStyle w:val="BodyText"/>
      </w:pPr>
      <w:r>
        <w:rPr>
          <w:b/>
          <w:bCs/>
        </w:rPr>
        <w:t xml:space="preserve">Sources:</w:t>
      </w:r>
      <w:r>
        <w:t xml:space="preserve"> </w:t>
      </w:r>
      <w:r>
        <w:t xml:space="preserve">The above compliance checks and details are drawn from the Legal Metrology (Packaged Commodities) Rules, 2011 (with amendments through 2023)【24†L208-L216】【60†L520-L529】, official gazette notifications, and government press releases【48†L34-L42】【62†L41-L49】. All requirements and examples are cited to these primary sources.</w:t>
      </w:r>
    </w:p>
    <w:bookmarkEnd w:id="13"/>
    <w:bookmarkEnd w:id="14"/>
    <w:bookmarkEnd w:id="15"/>
    <w:p>
      <w:r>
        <w:pict>
          <v:rect style="width:0;height:1.5pt" o:hralign="center" o:hrstd="t" o:hr="t"/>
        </w:pict>
      </w:r>
    </w:p>
    <w:bookmarkStart w:id="16" w:name="citations"/>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