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23456"/>
          <w:sz w:val="44"/>
        </w:rPr>
        <w:t>FIT IoT-LAB Üzerinde RIOT OS ile</w:t>
        <w:br/>
        <w:t>CoAP Ağaç (Tree) Topoloji Deneyi</w:t>
      </w:r>
    </w:p>
    <w:p>
      <w:pPr>
        <w:spacing w:after="280"/>
        <w:jc w:val="center"/>
      </w:pPr>
      <w:r>
        <w:rPr>
          <w:b/>
          <w:color w:val="306496"/>
          <w:sz w:val="28"/>
        </w:rPr>
        <w:t>Deney Raporu</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23456"/>
          </w:tcPr>
          <w:p>
            <w:r/>
            <w:r>
              <w:rPr>
                <w:b/>
                <w:color w:val="FFFFFF"/>
                <w:sz w:val="19"/>
              </w:rPr>
              <w:t>Alan</w:t>
            </w:r>
          </w:p>
        </w:tc>
        <w:tc>
          <w:tcPr>
            <w:tcW w:type="dxa" w:w="7056"/>
            <w:vAlign w:val="center"/>
            <w:shd w:fill="123456"/>
          </w:tcPr>
          <w:p>
            <w:r/>
            <w:r>
              <w:rPr>
                <w:b/>
                <w:color w:val="FFFFFF"/>
                <w:sz w:val="19"/>
              </w:rPr>
              <w:t>Değer</w:t>
            </w:r>
          </w:p>
        </w:tc>
      </w:tr>
      <w:tr>
        <w:tc>
          <w:tcPr>
            <w:tcW w:type="dxa" w:w="2880"/>
            <w:vAlign w:val="center"/>
            <w:shd w:fill="EAF2F8"/>
          </w:tcPr>
          <w:p>
            <w:r/>
            <w:r>
              <w:rPr>
                <w:b w:val="0"/>
                <w:sz w:val="18"/>
              </w:rPr>
              <w:t>Deney türü</w:t>
            </w:r>
          </w:p>
        </w:tc>
        <w:tc>
          <w:tcPr>
            <w:tcW w:type="dxa" w:w="7056"/>
            <w:vAlign w:val="center"/>
          </w:tcPr>
          <w:p>
            <w:r/>
            <w:r>
              <w:rPr>
                <w:b w:val="0"/>
                <w:sz w:val="18"/>
              </w:rPr>
              <w:t>CoAP / IPv6 / RPL ağaç topoloji</w:t>
            </w:r>
          </w:p>
        </w:tc>
      </w:tr>
      <w:tr>
        <w:tc>
          <w:tcPr>
            <w:tcW w:type="dxa" w:w="2880"/>
            <w:vAlign w:val="center"/>
            <w:shd w:fill="EAF2F8"/>
          </w:tcPr>
          <w:p>
            <w:r/>
            <w:r>
              <w:rPr>
                <w:b w:val="0"/>
                <w:sz w:val="18"/>
              </w:rPr>
              <w:t>Ağ ön eki</w:t>
            </w:r>
          </w:p>
        </w:tc>
        <w:tc>
          <w:tcPr>
            <w:tcW w:type="dxa" w:w="7056"/>
            <w:vAlign w:val="center"/>
          </w:tcPr>
          <w:p>
            <w:r/>
            <w:r>
              <w:rPr>
                <w:b w:val="0"/>
                <w:sz w:val="18"/>
              </w:rPr>
              <w:t>2001:660:3207:464::/64</w:t>
            </w:r>
          </w:p>
        </w:tc>
      </w:tr>
      <w:tr>
        <w:tc>
          <w:tcPr>
            <w:tcW w:type="dxa" w:w="2880"/>
            <w:vAlign w:val="center"/>
            <w:shd w:fill="EAF2F8"/>
          </w:tcPr>
          <w:p>
            <w:r/>
            <w:r>
              <w:rPr>
                <w:b w:val="0"/>
                <w:sz w:val="18"/>
              </w:rPr>
              <w:t>Border router</w:t>
            </w:r>
          </w:p>
        </w:tc>
        <w:tc>
          <w:tcPr>
            <w:tcW w:type="dxa" w:w="7056"/>
            <w:vAlign w:val="center"/>
          </w:tcPr>
          <w:p>
            <w:r/>
            <w:r>
              <w:rPr>
                <w:b w:val="0"/>
                <w:sz w:val="18"/>
              </w:rPr>
              <w:t>a8-100</w:t>
            </w:r>
          </w:p>
        </w:tc>
      </w:tr>
      <w:tr>
        <w:tc>
          <w:tcPr>
            <w:tcW w:type="dxa" w:w="2880"/>
            <w:vAlign w:val="center"/>
            <w:shd w:fill="EAF2F8"/>
          </w:tcPr>
          <w:p>
            <w:r/>
            <w:r>
              <w:rPr>
                <w:b w:val="0"/>
                <w:sz w:val="18"/>
              </w:rPr>
              <w:t>RPL router düğümleri</w:t>
            </w:r>
          </w:p>
        </w:tc>
        <w:tc>
          <w:tcPr>
            <w:tcW w:type="dxa" w:w="7056"/>
            <w:vAlign w:val="center"/>
          </w:tcPr>
          <w:p>
            <w:r/>
            <w:r>
              <w:rPr>
                <w:b w:val="0"/>
                <w:sz w:val="18"/>
              </w:rPr>
              <w:t>a8-103 ve a8-105</w:t>
            </w:r>
          </w:p>
        </w:tc>
      </w:tr>
      <w:tr>
        <w:tc>
          <w:tcPr>
            <w:tcW w:type="dxa" w:w="2880"/>
            <w:vAlign w:val="center"/>
            <w:shd w:fill="EAF2F8"/>
          </w:tcPr>
          <w:p>
            <w:r/>
            <w:r>
              <w:rPr>
                <w:b w:val="0"/>
                <w:sz w:val="18"/>
              </w:rPr>
              <w:t>CoAP server düğümleri</w:t>
            </w:r>
          </w:p>
        </w:tc>
        <w:tc>
          <w:tcPr>
            <w:tcW w:type="dxa" w:w="7056"/>
            <w:vAlign w:val="center"/>
          </w:tcPr>
          <w:p>
            <w:r/>
            <w:r>
              <w:rPr>
                <w:b w:val="0"/>
                <w:sz w:val="18"/>
              </w:rPr>
              <w:t>a8-104 ve a8-106</w:t>
            </w:r>
          </w:p>
        </w:tc>
      </w:tr>
      <w:tr>
        <w:tc>
          <w:tcPr>
            <w:tcW w:type="dxa" w:w="2880"/>
            <w:vAlign w:val="center"/>
            <w:shd w:fill="EAF2F8"/>
          </w:tcPr>
          <w:p>
            <w:r/>
            <w:r>
              <w:rPr>
                <w:b w:val="0"/>
                <w:sz w:val="18"/>
              </w:rPr>
              <w:t>İstemci</w:t>
            </w:r>
          </w:p>
        </w:tc>
        <w:tc>
          <w:tcPr>
            <w:tcW w:type="dxa" w:w="7056"/>
            <w:vAlign w:val="center"/>
          </w:tcPr>
          <w:p>
            <w:r/>
            <w:r>
              <w:rPr>
                <w:b w:val="0"/>
                <w:sz w:val="18"/>
              </w:rPr>
              <w:t>Saclay frontend üzerindeki aiocoap-client</w:t>
            </w:r>
          </w:p>
        </w:tc>
      </w:tr>
      <w:tr>
        <w:tc>
          <w:tcPr>
            <w:tcW w:type="dxa" w:w="2880"/>
            <w:vAlign w:val="center"/>
            <w:shd w:fill="EAF2F8"/>
          </w:tcPr>
          <w:p>
            <w:r/>
            <w:r>
              <w:rPr>
                <w:b w:val="0"/>
                <w:sz w:val="18"/>
              </w:rPr>
              <w:t>Paket kaydı</w:t>
            </w:r>
          </w:p>
        </w:tc>
        <w:tc>
          <w:tcPr>
            <w:tcW w:type="dxa" w:w="7056"/>
            <w:vAlign w:val="center"/>
          </w:tcPr>
          <w:p>
            <w:r/>
            <w:r>
              <w:rPr>
                <w:b w:val="0"/>
                <w:sz w:val="18"/>
              </w:rPr>
              <w:t>coap_tree.pcap</w:t>
            </w:r>
          </w:p>
        </w:tc>
      </w:tr>
    </w:tbl>
    <w:p/>
    <w:p>
      <w:r>
        <w:rPr>
          <w:b/>
        </w:rPr>
        <w:t xml:space="preserve">Bu raporda, </w:t>
      </w:r>
      <w:r>
        <w:t>RIOT OS çalışan A8-M3 düğümleri üzerinde CoAP servislerinin ağaç benzeri çok dallı bir topolojide erişilebilirliği, gecikme davranışı, tekrar istek performansı ve dal bazlı kesinti etkisi incelenmiştir. Deneyde iki RPL yönlendirici ve iki CoAP sunucu kullanılmış; trafiğin uygulama ve ağ katmanı davranışı terminal çıktıları ile pcap kaydı üzerinden birlikte değerlendirilmiştir.</w:t>
      </w:r>
    </w:p>
    <w:p>
      <w:pPr>
        <w:jc w:val="center"/>
      </w:pPr>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tree_topology.png"/>
                    <pic:cNvPicPr/>
                  </pic:nvPicPr>
                  <pic:blipFill>
                    <a:blip r:embed="rId11"/>
                    <a:stretch>
                      <a:fillRect/>
                    </a:stretch>
                  </pic:blipFill>
                  <pic:spPr>
                    <a:xfrm>
                      <a:off x="0" y="0"/>
                      <a:ext cx="6217920" cy="3454400"/>
                    </a:xfrm>
                    <a:prstGeom prst="rect"/>
                  </pic:spPr>
                </pic:pic>
              </a:graphicData>
            </a:graphic>
          </wp:inline>
        </w:drawing>
      </w:r>
    </w:p>
    <w:p>
      <w:pPr>
        <w:jc w:val="center"/>
      </w:pPr>
      <w:r>
        <w:rPr>
          <w:i/>
          <w:color w:val="505050"/>
          <w:sz w:val="18"/>
        </w:rPr>
        <w:t>Şekil 1. CoAP tree topoloji için kullanılan mantıksal düğüm yerleşimi.</w:t>
      </w:r>
    </w:p>
    <w:p>
      <w:pPr>
        <w:pStyle w:val="Heading1"/>
      </w:pPr>
      <w:r>
        <w:t>1. Deneyin Amacı</w:t>
      </w:r>
    </w:p>
    <w:p>
      <w:pPr>
        <w:pStyle w:val="ListBullet"/>
        <w:spacing w:after="40"/>
      </w:pPr>
      <w:r>
        <w:t>CoAP sunucularının aynı border router altında iki ayrı dal üzerinden erişilebilirliğini doğrulamak.</w:t>
      </w:r>
    </w:p>
    <w:p>
      <w:pPr>
        <w:pStyle w:val="ListBullet"/>
        <w:spacing w:after="40"/>
      </w:pPr>
      <w:r>
        <w:t>Her iki uç sunucu için temel CoAP GET, ping/RTT ve ardışık istek davranışını gözlemlemek.</w:t>
      </w:r>
    </w:p>
    <w:p>
      <w:pPr>
        <w:pStyle w:val="ListBullet"/>
        <w:spacing w:after="40"/>
      </w:pPr>
      <w:r>
        <w:t>Bir dal üzerinde oluşturulan kesinti koşulunun yalnızca ilgili uç sunucuya etkisini değerlendirmek.</w:t>
      </w:r>
    </w:p>
    <w:p>
      <w:pPr>
        <w:pStyle w:val="ListBullet"/>
        <w:spacing w:after="40"/>
      </w:pPr>
      <w:r>
        <w:t>Paket yakalama çıktılarından CoAP, ICMPv6 ve yeniden iletim davranışlarını sayısal olarak incelemek.</w:t>
      </w:r>
    </w:p>
    <w:p>
      <w:pPr>
        <w:pStyle w:val="Heading1"/>
      </w:pPr>
      <w:r>
        <w:t>2. Kurulum ve Kullanılan Komutlar</w:t>
      </w:r>
    </w:p>
    <w:p>
      <w:r>
        <w:t>Tree topolojide RPL yönlendiriciler ve CoAP sunucular ayrı firmware dosyalarıyla çalıştırılmıştır. Kullanılan temel flash komutları aşağıdadır.</w:t>
      </w:r>
    </w:p>
    <w:p>
      <w:pPr>
        <w:spacing w:before="80" w:after="160"/>
        <w:ind w:left="216"/>
        <w:shd w:fill="F3F6F9"/>
      </w:pPr>
      <w:r>
        <w:rPr>
          <w:rFonts w:ascii="Consolas" w:hAnsi="Consolas"/>
          <w:sz w:val="17"/>
        </w:rPr>
        <w:t>RPL router:  flash_a8_m3 A8/rpl_emcute_router.elf</w:t>
        <w:br/>
        <w:t>CoAP server: flash_a8_m3 A8/nanocoap_server.elf</w:t>
      </w:r>
    </w:p>
    <w:p>
      <w:r>
        <w:t>Frontend üzerinden CoAP erişimi ve RTT ölçümü için aşağıdaki komutlar kullanılmıştır:</w:t>
      </w:r>
    </w:p>
    <w:p>
      <w:pPr>
        <w:spacing w:before="80" w:after="160"/>
        <w:ind w:left="216"/>
        <w:shd w:fill="F3F6F9"/>
      </w:pPr>
      <w:r>
        <w:rPr>
          <w:rFonts w:ascii="Consolas" w:hAnsi="Consolas"/>
          <w:sz w:val="17"/>
        </w:rPr>
        <w:t>aiocoap-client coap://[2001:660:3207:464:ec9a:e5f:f6a3:f2f7]/riot/board</w:t>
        <w:br/>
        <w:t>aiocoap-client coap://[2001:660:3207:464:a4cf:e1be:f142:3d06]/riot/board</w:t>
        <w:br/>
        <w:t>ping6 -c 10 2001:660:3207:464:ec9a:e5f:f6a3:f2f7</w:t>
        <w:br/>
        <w:t>ping6 -c 10 2001:660:3207:464:a4cf:e1be:f142:3d06</w:t>
      </w:r>
    </w:p>
    <w:p>
      <w:r>
        <w:t>Paket kaydı, border router tarafında tap0 arayüzünden CoAP ve ICMPv6 trafiğini yakalayacak şekilde alınmıştır:</w:t>
      </w:r>
    </w:p>
    <w:p>
      <w:pPr>
        <w:spacing w:before="80" w:after="160"/>
        <w:ind w:left="216"/>
        <w:shd w:fill="F3F6F9"/>
      </w:pPr>
      <w:r>
        <w:rPr>
          <w:rFonts w:ascii="Consolas" w:hAnsi="Consolas"/>
          <w:sz w:val="17"/>
        </w:rPr>
        <w:t>tcpdump -i tap0 -n -s 0 -w /tmp/coap_tree.pcap \</w:t>
        <w:br/>
        <w:t>'ip6 and (udp port 5683 or icmp6)'</w:t>
      </w:r>
    </w:p>
    <w:p>
      <w:pPr>
        <w:pStyle w:val="Heading1"/>
      </w:pPr>
      <w:r>
        <w:t>3. Topoloji Doğrulama ve Düğüm Rolleri</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23456"/>
          </w:tcPr>
          <w:p>
            <w:r/>
            <w:r>
              <w:rPr>
                <w:b/>
                <w:color w:val="FFFFFF"/>
                <w:sz w:val="19"/>
              </w:rPr>
              <w:t>Düğüm</w:t>
            </w:r>
          </w:p>
        </w:tc>
        <w:tc>
          <w:tcPr>
            <w:tcW w:type="dxa" w:w="2304"/>
            <w:vAlign w:val="center"/>
            <w:shd w:fill="123456"/>
          </w:tcPr>
          <w:p>
            <w:r/>
            <w:r>
              <w:rPr>
                <w:b/>
                <w:color w:val="FFFFFF"/>
                <w:sz w:val="19"/>
              </w:rPr>
              <w:t>Rol</w:t>
            </w:r>
          </w:p>
        </w:tc>
        <w:tc>
          <w:tcPr>
            <w:tcW w:type="dxa" w:w="5760"/>
            <w:vAlign w:val="center"/>
            <w:shd w:fill="123456"/>
          </w:tcPr>
          <w:p>
            <w:r/>
            <w:r>
              <w:rPr>
                <w:b/>
                <w:color w:val="FFFFFF"/>
                <w:sz w:val="19"/>
              </w:rPr>
              <w:t>Açıklama</w:t>
            </w:r>
          </w:p>
        </w:tc>
      </w:tr>
      <w:tr>
        <w:tc>
          <w:tcPr>
            <w:tcW w:type="dxa" w:w="1872"/>
            <w:vAlign w:val="center"/>
            <w:shd w:fill="EAF2F8"/>
          </w:tcPr>
          <w:p>
            <w:r/>
            <w:r>
              <w:rPr>
                <w:b w:val="0"/>
                <w:sz w:val="18"/>
              </w:rPr>
              <w:t>a8-100</w:t>
            </w:r>
          </w:p>
        </w:tc>
        <w:tc>
          <w:tcPr>
            <w:tcW w:type="dxa" w:w="2304"/>
            <w:vAlign w:val="center"/>
          </w:tcPr>
          <w:p>
            <w:r/>
            <w:r>
              <w:rPr>
                <w:b w:val="0"/>
                <w:sz w:val="18"/>
              </w:rPr>
              <w:t>Border Router</w:t>
            </w:r>
          </w:p>
        </w:tc>
        <w:tc>
          <w:tcPr>
            <w:tcW w:type="dxa" w:w="5760"/>
            <w:vAlign w:val="center"/>
          </w:tcPr>
          <w:p>
            <w:r/>
            <w:r>
              <w:rPr>
                <w:b w:val="0"/>
                <w:sz w:val="18"/>
              </w:rPr>
              <w:t>Dış ağ ile 6LoWPAN/RPL ağı arasındaki geçiş noktası</w:t>
            </w:r>
          </w:p>
        </w:tc>
      </w:tr>
      <w:tr>
        <w:tc>
          <w:tcPr>
            <w:tcW w:type="dxa" w:w="1872"/>
            <w:vAlign w:val="center"/>
            <w:shd w:fill="EAF2F8"/>
          </w:tcPr>
          <w:p>
            <w:r/>
            <w:r>
              <w:rPr>
                <w:b w:val="0"/>
                <w:sz w:val="18"/>
              </w:rPr>
              <w:t>a8-103</w:t>
            </w:r>
          </w:p>
        </w:tc>
        <w:tc>
          <w:tcPr>
            <w:tcW w:type="dxa" w:w="2304"/>
            <w:vAlign w:val="center"/>
          </w:tcPr>
          <w:p>
            <w:r/>
            <w:r>
              <w:rPr>
                <w:b w:val="0"/>
                <w:sz w:val="18"/>
              </w:rPr>
              <w:t>RPL Router</w:t>
            </w:r>
          </w:p>
        </w:tc>
        <w:tc>
          <w:tcPr>
            <w:tcW w:type="dxa" w:w="5760"/>
            <w:vAlign w:val="center"/>
          </w:tcPr>
          <w:p>
            <w:r/>
            <w:r>
              <w:rPr>
                <w:b w:val="0"/>
                <w:sz w:val="18"/>
              </w:rPr>
              <w:t>Birinci dal yönlendiricisi</w:t>
            </w:r>
          </w:p>
        </w:tc>
      </w:tr>
      <w:tr>
        <w:tc>
          <w:tcPr>
            <w:tcW w:type="dxa" w:w="1872"/>
            <w:vAlign w:val="center"/>
            <w:shd w:fill="EAF2F8"/>
          </w:tcPr>
          <w:p>
            <w:r/>
            <w:r>
              <w:rPr>
                <w:b w:val="0"/>
                <w:sz w:val="18"/>
              </w:rPr>
              <w:t>a8-105</w:t>
            </w:r>
          </w:p>
        </w:tc>
        <w:tc>
          <w:tcPr>
            <w:tcW w:type="dxa" w:w="2304"/>
            <w:vAlign w:val="center"/>
          </w:tcPr>
          <w:p>
            <w:r/>
            <w:r>
              <w:rPr>
                <w:b w:val="0"/>
                <w:sz w:val="18"/>
              </w:rPr>
              <w:t>RPL Router</w:t>
            </w:r>
          </w:p>
        </w:tc>
        <w:tc>
          <w:tcPr>
            <w:tcW w:type="dxa" w:w="5760"/>
            <w:vAlign w:val="center"/>
          </w:tcPr>
          <w:p>
            <w:r/>
            <w:r>
              <w:rPr>
                <w:b w:val="0"/>
                <w:sz w:val="18"/>
              </w:rPr>
              <w:t>İkinci dal yönlendiricisi</w:t>
            </w:r>
          </w:p>
        </w:tc>
      </w:tr>
      <w:tr>
        <w:tc>
          <w:tcPr>
            <w:tcW w:type="dxa" w:w="1872"/>
            <w:vAlign w:val="center"/>
            <w:shd w:fill="EAF2F8"/>
          </w:tcPr>
          <w:p>
            <w:r/>
            <w:r>
              <w:rPr>
                <w:b w:val="0"/>
                <w:sz w:val="18"/>
              </w:rPr>
              <w:t>a8-104 / a8-106</w:t>
            </w:r>
          </w:p>
        </w:tc>
        <w:tc>
          <w:tcPr>
            <w:tcW w:type="dxa" w:w="2304"/>
            <w:vAlign w:val="center"/>
          </w:tcPr>
          <w:p>
            <w:r/>
            <w:r>
              <w:rPr>
                <w:b w:val="0"/>
                <w:sz w:val="18"/>
              </w:rPr>
              <w:t>CoAP Server</w:t>
            </w:r>
          </w:p>
        </w:tc>
        <w:tc>
          <w:tcPr>
            <w:tcW w:type="dxa" w:w="5760"/>
            <w:vAlign w:val="center"/>
          </w:tcPr>
          <w:p>
            <w:r/>
            <w:r>
              <w:rPr>
                <w:b w:val="0"/>
                <w:sz w:val="18"/>
              </w:rPr>
              <w:t>/riot/board kaynağını sunan uç düğümler</w:t>
            </w:r>
          </w:p>
        </w:tc>
      </w:tr>
    </w:tbl>
    <w:p/>
    <w:p>
      <w:r>
        <w:t>RPL router çıktılarında varsayılan rotanın border router link-local adresine yöneldiği görülmüştür. Bu, iki dalın üst seviyede aynı border router’a bağlı çalıştığını doğrular. NIB çıktılarında iki CoAP sunucusunun her iki router tarafından da zaman zaman görülebildiği gözlenmiştir. Bu durum, fiziksel radyo menzili nedeniyle beklenebilir; bu yüzden dal ayrımı yalnızca komşuluk listesiyle değil, kesinti sonrası erişim davranışıyla birlikte değerlendirilmiştir.</w:t>
      </w:r>
    </w:p>
    <w:p>
      <w:pPr>
        <w:pStyle w:val="Heading1"/>
      </w:pPr>
      <w:r>
        <w:t>4. Normal Durum CoAP GET Testleri</w:t>
      </w:r>
    </w:p>
    <w:p>
      <w:r>
        <w:t>İki sunucuya /riot/board kaynağı üzerinden GET isteği gönderilmiş ve her iki sunucudan da “iotlab-a8-m3” cevabı alınmıştır. Bu çıktı, tree topolojide iki ayrı CoAP uç servisinin istemci tarafından erişilebilir olduğunu göstermektedir.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23456"/>
          </w:tcPr>
          <w:p>
            <w:r/>
            <w:r>
              <w:rPr>
                <w:b/>
                <w:color w:val="FFFFFF"/>
                <w:sz w:val="19"/>
              </w:rPr>
              <w:t>Hedef</w:t>
            </w:r>
          </w:p>
        </w:tc>
        <w:tc>
          <w:tcPr>
            <w:tcW w:type="dxa" w:w="5040"/>
            <w:vAlign w:val="center"/>
            <w:shd w:fill="123456"/>
          </w:tcPr>
          <w:p>
            <w:r/>
            <w:r>
              <w:rPr>
                <w:b/>
                <w:color w:val="FFFFFF"/>
                <w:sz w:val="19"/>
              </w:rPr>
              <w:t>IPv6 Adresi</w:t>
            </w:r>
          </w:p>
        </w:tc>
        <w:tc>
          <w:tcPr>
            <w:tcW w:type="dxa" w:w="1440"/>
            <w:vAlign w:val="center"/>
            <w:shd w:fill="123456"/>
          </w:tcPr>
          <w:p>
            <w:r/>
            <w:r>
              <w:rPr>
                <w:b/>
                <w:color w:val="FFFFFF"/>
                <w:sz w:val="19"/>
              </w:rPr>
              <w:t>Durum</w:t>
            </w:r>
          </w:p>
        </w:tc>
        <w:tc>
          <w:tcPr>
            <w:tcW w:type="dxa" w:w="2016"/>
            <w:vAlign w:val="center"/>
            <w:shd w:fill="123456"/>
          </w:tcPr>
          <w:p>
            <w:r/>
            <w:r>
              <w:rPr>
                <w:b/>
                <w:color w:val="FFFFFF"/>
                <w:sz w:val="19"/>
              </w:rPr>
              <w:t>Yanıt</w:t>
            </w:r>
          </w:p>
        </w:tc>
      </w:tr>
      <w:tr>
        <w:tc>
          <w:tcPr>
            <w:tcW w:type="dxa" w:w="1440"/>
            <w:vAlign w:val="center"/>
            <w:shd w:fill="EAF2F8"/>
          </w:tcPr>
          <w:p>
            <w:r/>
            <w:r>
              <w:rPr>
                <w:b w:val="0"/>
                <w:sz w:val="18"/>
              </w:rPr>
              <w:t>Sunucu A</w:t>
            </w:r>
          </w:p>
        </w:tc>
        <w:tc>
          <w:tcPr>
            <w:tcW w:type="dxa" w:w="5040"/>
            <w:vAlign w:val="center"/>
          </w:tcPr>
          <w:p>
            <w:r/>
            <w:r>
              <w:rPr>
                <w:b w:val="0"/>
                <w:sz w:val="18"/>
              </w:rPr>
              <w:t>2001:660:3207:464:ec9a:e5f:f6a3:f2f7</w:t>
            </w:r>
          </w:p>
        </w:tc>
        <w:tc>
          <w:tcPr>
            <w:tcW w:type="dxa" w:w="1440"/>
            <w:vAlign w:val="center"/>
          </w:tcPr>
          <w:p>
            <w:r/>
            <w:r>
              <w:rPr>
                <w:b w:val="0"/>
                <w:sz w:val="18"/>
              </w:rPr>
              <w:t>Başarılı</w:t>
            </w:r>
          </w:p>
        </w:tc>
        <w:tc>
          <w:tcPr>
            <w:tcW w:type="dxa" w:w="2016"/>
            <w:vAlign w:val="center"/>
          </w:tcPr>
          <w:p>
            <w:r/>
            <w:r>
              <w:rPr>
                <w:b w:val="0"/>
                <w:sz w:val="18"/>
              </w:rPr>
              <w:t>iotlab-a8-m3</w:t>
            </w:r>
          </w:p>
        </w:tc>
      </w:tr>
      <w:tr>
        <w:tc>
          <w:tcPr>
            <w:tcW w:type="dxa" w:w="1440"/>
            <w:vAlign w:val="center"/>
            <w:shd w:fill="EAF2F8"/>
          </w:tcPr>
          <w:p>
            <w:r/>
            <w:r>
              <w:rPr>
                <w:b w:val="0"/>
                <w:sz w:val="18"/>
              </w:rPr>
              <w:t>Sunucu B</w:t>
            </w:r>
          </w:p>
        </w:tc>
        <w:tc>
          <w:tcPr>
            <w:tcW w:type="dxa" w:w="5040"/>
            <w:vAlign w:val="center"/>
          </w:tcPr>
          <w:p>
            <w:r/>
            <w:r>
              <w:rPr>
                <w:b w:val="0"/>
                <w:sz w:val="18"/>
              </w:rPr>
              <w:t>2001:660:3207:464:a4cf:e1be:f142:3d06</w:t>
            </w:r>
          </w:p>
        </w:tc>
        <w:tc>
          <w:tcPr>
            <w:tcW w:type="dxa" w:w="1440"/>
            <w:vAlign w:val="center"/>
          </w:tcPr>
          <w:p>
            <w:r/>
            <w:r>
              <w:rPr>
                <w:b w:val="0"/>
                <w:sz w:val="18"/>
              </w:rPr>
              <w:t>Başarılı</w:t>
            </w:r>
          </w:p>
        </w:tc>
        <w:tc>
          <w:tcPr>
            <w:tcW w:type="dxa" w:w="2016"/>
            <w:vAlign w:val="center"/>
          </w:tcPr>
          <w:p>
            <w:r/>
            <w:r>
              <w:rPr>
                <w:b w:val="0"/>
                <w:sz w:val="18"/>
              </w:rPr>
              <w:t>iotlab-a8-m3</w:t>
            </w:r>
          </w:p>
        </w:tc>
      </w:tr>
    </w:tbl>
    <w:p/>
    <w:p>
      <w:pPr>
        <w:jc w:val="center"/>
      </w:pPr>
      <w:r>
        <w:drawing>
          <wp:inline xmlns:a="http://schemas.openxmlformats.org/drawingml/2006/main" xmlns:pic="http://schemas.openxmlformats.org/drawingml/2006/picture">
            <wp:extent cx="6217920" cy="1661276"/>
            <wp:docPr id="2" name="Picture 2"/>
            <wp:cNvGraphicFramePr>
              <a:graphicFrameLocks noChangeAspect="1"/>
            </wp:cNvGraphicFramePr>
            <a:graphic>
              <a:graphicData uri="http://schemas.openxmlformats.org/drawingml/2006/picture">
                <pic:pic>
                  <pic:nvPicPr>
                    <pic:cNvPr id="0" name="normal_get.png"/>
                    <pic:cNvPicPr/>
                  </pic:nvPicPr>
                  <pic:blipFill>
                    <a:blip r:embed="rId12"/>
                    <a:stretch>
                      <a:fillRect/>
                    </a:stretch>
                  </pic:blipFill>
                  <pic:spPr>
                    <a:xfrm>
                      <a:off x="0" y="0"/>
                      <a:ext cx="6217920" cy="1661276"/>
                    </a:xfrm>
                    <a:prstGeom prst="rect"/>
                  </pic:spPr>
                </pic:pic>
              </a:graphicData>
            </a:graphic>
          </wp:inline>
        </w:drawing>
      </w:r>
    </w:p>
    <w:p>
      <w:pPr>
        <w:jc w:val="center"/>
      </w:pPr>
      <w:r>
        <w:rPr>
          <w:i/>
          <w:color w:val="505050"/>
          <w:sz w:val="18"/>
        </w:rPr>
        <w:t>Şekil 2. Normal durumda iki CoAP sunucusuna yapılan GET testleri.</w:t>
      </w:r>
    </w:p>
    <w:p>
      <w:pPr>
        <w:pStyle w:val="Heading1"/>
      </w:pPr>
      <w:r>
        <w:t>5. Ping / RTT Bulguları</w:t>
      </w:r>
    </w:p>
    <w:p>
      <w:r>
        <w:t>Normal çalışma durumunda iki sunucuya 10 adet ICMPv6 ping paketi gönderilmiştir. Sonuçlar, Sunucu A’nın daha kararlı ve düşük gecikmeli bir iletişim sergilediğini; Sunucu B’de ise daha yüksek RTT ve %20 paket kaybı oluştuğunu göstermiştir.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23456"/>
          </w:tcPr>
          <w:p>
            <w:r/>
            <w:r>
              <w:rPr>
                <w:b/>
                <w:color w:val="FFFFFF"/>
                <w:sz w:val="19"/>
              </w:rPr>
              <w:t>Hedef</w:t>
            </w:r>
          </w:p>
        </w:tc>
        <w:tc>
          <w:tcPr>
            <w:tcW w:type="dxa" w:w="4608"/>
            <w:vAlign w:val="center"/>
            <w:shd w:fill="123456"/>
          </w:tcPr>
          <w:p>
            <w:r/>
            <w:r>
              <w:rPr>
                <w:b/>
                <w:color w:val="FFFFFF"/>
                <w:sz w:val="19"/>
              </w:rPr>
              <w:t>IPv6</w:t>
            </w:r>
          </w:p>
        </w:tc>
        <w:tc>
          <w:tcPr>
            <w:tcW w:type="dxa" w:w="1296"/>
            <w:vAlign w:val="center"/>
            <w:shd w:fill="123456"/>
          </w:tcPr>
          <w:p>
            <w:r/>
            <w:r>
              <w:rPr>
                <w:b/>
                <w:color w:val="FFFFFF"/>
                <w:sz w:val="19"/>
              </w:rPr>
              <w:t>Yanıt</w:t>
            </w:r>
          </w:p>
        </w:tc>
        <w:tc>
          <w:tcPr>
            <w:tcW w:type="dxa" w:w="1152"/>
            <w:vAlign w:val="center"/>
            <w:shd w:fill="123456"/>
          </w:tcPr>
          <w:p>
            <w:r/>
            <w:r>
              <w:rPr>
                <w:b/>
                <w:color w:val="FFFFFF"/>
                <w:sz w:val="19"/>
              </w:rPr>
              <w:t>Kayıp</w:t>
            </w:r>
          </w:p>
        </w:tc>
        <w:tc>
          <w:tcPr>
            <w:tcW w:type="dxa" w:w="2592"/>
            <w:vAlign w:val="center"/>
            <w:shd w:fill="123456"/>
          </w:tcPr>
          <w:p>
            <w:r/>
            <w:r>
              <w:rPr>
                <w:b/>
                <w:color w:val="FFFFFF"/>
                <w:sz w:val="19"/>
              </w:rPr>
              <w:t>RTT min / avg / max</w:t>
            </w:r>
          </w:p>
        </w:tc>
      </w:tr>
      <w:tr>
        <w:tc>
          <w:tcPr>
            <w:tcW w:type="dxa" w:w="1440"/>
            <w:vAlign w:val="center"/>
            <w:shd w:fill="EAF2F8"/>
          </w:tcPr>
          <w:p>
            <w:r/>
            <w:r>
              <w:rPr>
                <w:b w:val="0"/>
                <w:sz w:val="18"/>
              </w:rPr>
              <w:t>Sunucu A</w:t>
            </w:r>
          </w:p>
        </w:tc>
        <w:tc>
          <w:tcPr>
            <w:tcW w:type="dxa" w:w="4608"/>
            <w:vAlign w:val="center"/>
          </w:tcPr>
          <w:p>
            <w:r/>
            <w:r>
              <w:rPr>
                <w:b w:val="0"/>
                <w:sz w:val="18"/>
              </w:rPr>
              <w:t>2001:660:3207:464:ec9a:e5f:f6a3:f2f7</w:t>
            </w:r>
          </w:p>
        </w:tc>
        <w:tc>
          <w:tcPr>
            <w:tcW w:type="dxa" w:w="1296"/>
            <w:vAlign w:val="center"/>
          </w:tcPr>
          <w:p>
            <w:r/>
            <w:r>
              <w:rPr>
                <w:b w:val="0"/>
                <w:sz w:val="18"/>
              </w:rPr>
              <w:t>10 / 10</w:t>
            </w:r>
          </w:p>
        </w:tc>
        <w:tc>
          <w:tcPr>
            <w:tcW w:type="dxa" w:w="1152"/>
            <w:vAlign w:val="center"/>
          </w:tcPr>
          <w:p>
            <w:r/>
            <w:r>
              <w:rPr>
                <w:b w:val="0"/>
                <w:sz w:val="18"/>
              </w:rPr>
              <w:t>%0</w:t>
            </w:r>
          </w:p>
        </w:tc>
        <w:tc>
          <w:tcPr>
            <w:tcW w:type="dxa" w:w="2592"/>
            <w:vAlign w:val="center"/>
          </w:tcPr>
          <w:p>
            <w:r/>
            <w:r>
              <w:rPr>
                <w:b w:val="0"/>
                <w:sz w:val="18"/>
              </w:rPr>
              <w:t>19.590 / 21.033 / 22.686 ms</w:t>
            </w:r>
          </w:p>
        </w:tc>
      </w:tr>
      <w:tr>
        <w:tc>
          <w:tcPr>
            <w:tcW w:type="dxa" w:w="1440"/>
            <w:vAlign w:val="center"/>
            <w:shd w:fill="EAF2F8"/>
          </w:tcPr>
          <w:p>
            <w:r/>
            <w:r>
              <w:rPr>
                <w:b w:val="0"/>
                <w:sz w:val="18"/>
              </w:rPr>
              <w:t>Sunucu B</w:t>
            </w:r>
          </w:p>
        </w:tc>
        <w:tc>
          <w:tcPr>
            <w:tcW w:type="dxa" w:w="4608"/>
            <w:vAlign w:val="center"/>
          </w:tcPr>
          <w:p>
            <w:r/>
            <w:r>
              <w:rPr>
                <w:b w:val="0"/>
                <w:sz w:val="18"/>
              </w:rPr>
              <w:t>2001:660:3207:464:a4cf:e1be:f142:3d06</w:t>
            </w:r>
          </w:p>
        </w:tc>
        <w:tc>
          <w:tcPr>
            <w:tcW w:type="dxa" w:w="1296"/>
            <w:vAlign w:val="center"/>
          </w:tcPr>
          <w:p>
            <w:r/>
            <w:r>
              <w:rPr>
                <w:b w:val="0"/>
                <w:sz w:val="18"/>
              </w:rPr>
              <w:t>8 / 10</w:t>
            </w:r>
          </w:p>
        </w:tc>
        <w:tc>
          <w:tcPr>
            <w:tcW w:type="dxa" w:w="1152"/>
            <w:vAlign w:val="center"/>
          </w:tcPr>
          <w:p>
            <w:r/>
            <w:r>
              <w:rPr>
                <w:b w:val="0"/>
                <w:sz w:val="18"/>
              </w:rPr>
              <w:t>%20</w:t>
            </w:r>
          </w:p>
        </w:tc>
        <w:tc>
          <w:tcPr>
            <w:tcW w:type="dxa" w:w="2592"/>
            <w:vAlign w:val="center"/>
          </w:tcPr>
          <w:p>
            <w:r/>
            <w:r>
              <w:rPr>
                <w:b w:val="0"/>
                <w:sz w:val="18"/>
              </w:rPr>
              <w:t>26.542 / 34.640 / 51.988 ms</w:t>
            </w:r>
          </w:p>
        </w:tc>
      </w:tr>
    </w:tbl>
    <w:p/>
    <w:p>
      <w:pPr>
        <w:jc w:val="center"/>
      </w:pPr>
      <w:r>
        <w:drawing>
          <wp:inline xmlns:a="http://schemas.openxmlformats.org/drawingml/2006/main" xmlns:pic="http://schemas.openxmlformats.org/drawingml/2006/picture">
            <wp:extent cx="6309360" cy="942230"/>
            <wp:docPr id="3" name="Picture 3"/>
            <wp:cNvGraphicFramePr>
              <a:graphicFrameLocks noChangeAspect="1"/>
            </wp:cNvGraphicFramePr>
            <a:graphic>
              <a:graphicData uri="http://schemas.openxmlformats.org/drawingml/2006/picture">
                <pic:pic>
                  <pic:nvPicPr>
                    <pic:cNvPr id="0" name="normal_ping_montage.png"/>
                    <pic:cNvPicPr/>
                  </pic:nvPicPr>
                  <pic:blipFill>
                    <a:blip r:embed="rId13"/>
                    <a:stretch>
                      <a:fillRect/>
                    </a:stretch>
                  </pic:blipFill>
                  <pic:spPr>
                    <a:xfrm>
                      <a:off x="0" y="0"/>
                      <a:ext cx="6309360" cy="942230"/>
                    </a:xfrm>
                    <a:prstGeom prst="rect"/>
                  </pic:spPr>
                </pic:pic>
              </a:graphicData>
            </a:graphic>
          </wp:inline>
        </w:drawing>
      </w:r>
    </w:p>
    <w:p>
      <w:pPr>
        <w:jc w:val="center"/>
      </w:pPr>
      <w:r>
        <w:rPr>
          <w:i/>
          <w:color w:val="505050"/>
          <w:sz w:val="18"/>
        </w:rPr>
        <w:t>Şekil 3. Normal çalışma durumundaki RTT çıktıları.</w:t>
      </w:r>
    </w:p>
    <w:p>
      <w:pPr>
        <w:pStyle w:val="Heading1"/>
      </w:pPr>
      <w:r>
        <w:t>6. Ardışık CoAP GET Başarı Davranışı</w:t>
      </w:r>
    </w:p>
    <w:p>
      <w:r>
        <w:t>Paket kaydı üzerinden CoAP mesaj kimlikleri incelendiğinde, normal test bölümünde Sunucu A için 10 ardışık GET isteğinin tamamının yanıta dönüştüğü; Sunucu B için de 10 benzersiz GET isteğinin tamamının sonuçta yanıt aldığı görülmüştür. Sunucu B tarafında bir isteğin gecikmeli yanıt nedeniyle iki kez yeniden iletildiği, buna rağmen nihai yanıtın geldiği tespit edilmiştir.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23456"/>
          </w:tcPr>
          <w:p>
            <w:r/>
            <w:r>
              <w:rPr>
                <w:b/>
                <w:color w:val="FFFFFF"/>
                <w:sz w:val="19"/>
              </w:rPr>
              <w:t>Hedef</w:t>
            </w:r>
          </w:p>
        </w:tc>
        <w:tc>
          <w:tcPr>
            <w:tcW w:type="dxa" w:w="2304"/>
            <w:vAlign w:val="center"/>
            <w:shd w:fill="123456"/>
          </w:tcPr>
          <w:p>
            <w:r/>
            <w:r>
              <w:rPr>
                <w:b/>
                <w:color w:val="FFFFFF"/>
                <w:sz w:val="19"/>
              </w:rPr>
              <w:t>İstek</w:t>
            </w:r>
          </w:p>
        </w:tc>
        <w:tc>
          <w:tcPr>
            <w:tcW w:type="dxa" w:w="1872"/>
            <w:vAlign w:val="center"/>
            <w:shd w:fill="123456"/>
          </w:tcPr>
          <w:p>
            <w:r/>
            <w:r>
              <w:rPr>
                <w:b/>
                <w:color w:val="FFFFFF"/>
                <w:sz w:val="19"/>
              </w:rPr>
              <w:t>Yanıt</w:t>
            </w:r>
          </w:p>
        </w:tc>
        <w:tc>
          <w:tcPr>
            <w:tcW w:type="dxa" w:w="4320"/>
            <w:vAlign w:val="center"/>
            <w:shd w:fill="123456"/>
          </w:tcPr>
          <w:p>
            <w:r/>
            <w:r>
              <w:rPr>
                <w:b/>
                <w:color w:val="FFFFFF"/>
                <w:sz w:val="19"/>
              </w:rPr>
              <w:t>Gözlem</w:t>
            </w:r>
          </w:p>
        </w:tc>
      </w:tr>
      <w:tr>
        <w:tc>
          <w:tcPr>
            <w:tcW w:type="dxa" w:w="1584"/>
            <w:vAlign w:val="center"/>
            <w:shd w:fill="EAF2F8"/>
          </w:tcPr>
          <w:p>
            <w:r/>
            <w:r>
              <w:rPr>
                <w:b w:val="0"/>
                <w:sz w:val="18"/>
              </w:rPr>
              <w:t>Sunucu A</w:t>
            </w:r>
          </w:p>
        </w:tc>
        <w:tc>
          <w:tcPr>
            <w:tcW w:type="dxa" w:w="2304"/>
            <w:vAlign w:val="center"/>
          </w:tcPr>
          <w:p>
            <w:r/>
            <w:r>
              <w:rPr>
                <w:b w:val="0"/>
                <w:sz w:val="18"/>
              </w:rPr>
              <w:t>10 benzersiz GET</w:t>
            </w:r>
          </w:p>
        </w:tc>
        <w:tc>
          <w:tcPr>
            <w:tcW w:type="dxa" w:w="1872"/>
            <w:vAlign w:val="center"/>
          </w:tcPr>
          <w:p>
            <w:r/>
            <w:r>
              <w:rPr>
                <w:b w:val="0"/>
                <w:sz w:val="18"/>
              </w:rPr>
              <w:t>10 yanıt</w:t>
            </w:r>
          </w:p>
        </w:tc>
        <w:tc>
          <w:tcPr>
            <w:tcW w:type="dxa" w:w="4320"/>
            <w:vAlign w:val="center"/>
          </w:tcPr>
          <w:p>
            <w:r/>
            <w:r>
              <w:rPr>
                <w:b w:val="0"/>
                <w:sz w:val="18"/>
              </w:rPr>
              <w:t>Ek retransmission yok</w:t>
            </w:r>
          </w:p>
        </w:tc>
      </w:tr>
      <w:tr>
        <w:tc>
          <w:tcPr>
            <w:tcW w:type="dxa" w:w="1584"/>
            <w:vAlign w:val="center"/>
            <w:shd w:fill="EAF2F8"/>
          </w:tcPr>
          <w:p>
            <w:r/>
            <w:r>
              <w:rPr>
                <w:b w:val="0"/>
                <w:sz w:val="18"/>
              </w:rPr>
              <w:t>Sunucu B</w:t>
            </w:r>
          </w:p>
        </w:tc>
        <w:tc>
          <w:tcPr>
            <w:tcW w:type="dxa" w:w="2304"/>
            <w:vAlign w:val="center"/>
          </w:tcPr>
          <w:p>
            <w:r/>
            <w:r>
              <w:rPr>
                <w:b w:val="0"/>
                <w:sz w:val="18"/>
              </w:rPr>
              <w:t>10 benzersiz GET</w:t>
            </w:r>
          </w:p>
        </w:tc>
        <w:tc>
          <w:tcPr>
            <w:tcW w:type="dxa" w:w="1872"/>
            <w:vAlign w:val="center"/>
          </w:tcPr>
          <w:p>
            <w:r/>
            <w:r>
              <w:rPr>
                <w:b w:val="0"/>
                <w:sz w:val="18"/>
              </w:rPr>
              <w:t>10 yanıt</w:t>
            </w:r>
          </w:p>
        </w:tc>
        <w:tc>
          <w:tcPr>
            <w:tcW w:type="dxa" w:w="4320"/>
            <w:vAlign w:val="center"/>
          </w:tcPr>
          <w:p>
            <w:r/>
            <w:r>
              <w:rPr>
                <w:b w:val="0"/>
                <w:sz w:val="18"/>
              </w:rPr>
              <w:t>Bir GET için 2 ek retransmission</w:t>
            </w:r>
          </w:p>
        </w:tc>
      </w:tr>
    </w:tbl>
    <w:p/>
    <w:p>
      <w:pPr>
        <w:pStyle w:val="Heading1"/>
      </w:pPr>
      <w:r>
        <w:t>7. Dal Bazlı Kesinti / Sağırlaştırma Testi</w:t>
      </w:r>
    </w:p>
    <w:p>
      <w:r>
        <w:t>Kesinti aşamasında bir RPL yönlendirici çalışma kanalından ayrılarak belirli bir dal üzerinde radyo düzeyinde kopma koşulu oluşturulmuştur. Test sonrasında Sunucu B adresine yapılan CoAP GET denemeleri yanıtsız kalmış; aynı hedefe yapılan ping testinde %100 paket kaybı oluşmuştur. Buna karşılık Sunucu A, kesinti sırasında hem CoAP GET hem de ping açısından çalışmaya devam etmiştir.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23456"/>
          </w:tcPr>
          <w:p>
            <w:r/>
            <w:r>
              <w:rPr>
                <w:b/>
                <w:color w:val="FFFFFF"/>
                <w:sz w:val="19"/>
              </w:rPr>
              <w:t>Hedef</w:t>
            </w:r>
          </w:p>
        </w:tc>
        <w:tc>
          <w:tcPr>
            <w:tcW w:type="dxa" w:w="2880"/>
            <w:vAlign w:val="center"/>
            <w:shd w:fill="123456"/>
          </w:tcPr>
          <w:p>
            <w:r/>
            <w:r>
              <w:rPr>
                <w:b/>
                <w:color w:val="FFFFFF"/>
                <w:sz w:val="19"/>
              </w:rPr>
              <w:t>CoAP Testi</w:t>
            </w:r>
          </w:p>
        </w:tc>
        <w:tc>
          <w:tcPr>
            <w:tcW w:type="dxa" w:w="2016"/>
            <w:vAlign w:val="center"/>
            <w:shd w:fill="123456"/>
          </w:tcPr>
          <w:p>
            <w:r/>
            <w:r>
              <w:rPr>
                <w:b/>
                <w:color w:val="FFFFFF"/>
                <w:sz w:val="19"/>
              </w:rPr>
              <w:t>Ping Testi</w:t>
            </w:r>
          </w:p>
        </w:tc>
        <w:tc>
          <w:tcPr>
            <w:tcW w:type="dxa" w:w="3600"/>
            <w:vAlign w:val="center"/>
            <w:shd w:fill="123456"/>
          </w:tcPr>
          <w:p>
            <w:r/>
            <w:r>
              <w:rPr>
                <w:b/>
                <w:color w:val="FFFFFF"/>
                <w:sz w:val="19"/>
              </w:rPr>
              <w:t>Yorum</w:t>
            </w:r>
          </w:p>
        </w:tc>
      </w:tr>
      <w:tr>
        <w:tc>
          <w:tcPr>
            <w:tcW w:type="dxa" w:w="1584"/>
            <w:vAlign w:val="center"/>
            <w:shd w:fill="EAF2F8"/>
          </w:tcPr>
          <w:p>
            <w:r/>
            <w:r>
              <w:rPr>
                <w:b w:val="0"/>
                <w:sz w:val="18"/>
              </w:rPr>
              <w:t>Sunucu A</w:t>
            </w:r>
          </w:p>
        </w:tc>
        <w:tc>
          <w:tcPr>
            <w:tcW w:type="dxa" w:w="2880"/>
            <w:vAlign w:val="center"/>
          </w:tcPr>
          <w:p>
            <w:r/>
            <w:r>
              <w:rPr>
                <w:b w:val="0"/>
                <w:sz w:val="18"/>
              </w:rPr>
              <w:t>CoAP GET başarılı</w:t>
            </w:r>
          </w:p>
        </w:tc>
        <w:tc>
          <w:tcPr>
            <w:tcW w:type="dxa" w:w="2016"/>
            <w:vAlign w:val="center"/>
          </w:tcPr>
          <w:p>
            <w:r/>
            <w:r>
              <w:rPr>
                <w:b w:val="0"/>
                <w:sz w:val="18"/>
              </w:rPr>
              <w:t>3/3 ping yanıtı</w:t>
            </w:r>
          </w:p>
        </w:tc>
        <w:tc>
          <w:tcPr>
            <w:tcW w:type="dxa" w:w="3600"/>
            <w:vAlign w:val="center"/>
          </w:tcPr>
          <w:p>
            <w:r/>
            <w:r>
              <w:rPr>
                <w:b w:val="0"/>
                <w:sz w:val="18"/>
              </w:rPr>
              <w:t>Dal erişilebilir kalmıştır</w:t>
            </w:r>
          </w:p>
        </w:tc>
      </w:tr>
      <w:tr>
        <w:tc>
          <w:tcPr>
            <w:tcW w:type="dxa" w:w="1584"/>
            <w:vAlign w:val="center"/>
            <w:shd w:fill="EAF2F8"/>
          </w:tcPr>
          <w:p>
            <w:r/>
            <w:r>
              <w:rPr>
                <w:b w:val="0"/>
                <w:sz w:val="18"/>
              </w:rPr>
              <w:t>Sunucu B</w:t>
            </w:r>
          </w:p>
        </w:tc>
        <w:tc>
          <w:tcPr>
            <w:tcW w:type="dxa" w:w="2880"/>
            <w:vAlign w:val="center"/>
          </w:tcPr>
          <w:p>
            <w:r/>
            <w:r>
              <w:rPr>
                <w:b w:val="0"/>
                <w:sz w:val="18"/>
              </w:rPr>
              <w:t>CoAP GET timeout / yanıtsız</w:t>
            </w:r>
          </w:p>
        </w:tc>
        <w:tc>
          <w:tcPr>
            <w:tcW w:type="dxa" w:w="2016"/>
            <w:vAlign w:val="center"/>
          </w:tcPr>
          <w:p>
            <w:r/>
            <w:r>
              <w:rPr>
                <w:b w:val="0"/>
                <w:sz w:val="18"/>
              </w:rPr>
              <w:t>0/3 ping yanıtı</w:t>
            </w:r>
          </w:p>
        </w:tc>
        <w:tc>
          <w:tcPr>
            <w:tcW w:type="dxa" w:w="3600"/>
            <w:vAlign w:val="center"/>
          </w:tcPr>
          <w:p>
            <w:r/>
            <w:r>
              <w:rPr>
                <w:b w:val="0"/>
                <w:sz w:val="18"/>
              </w:rPr>
              <w:t>%100 paket kaybı</w:t>
            </w:r>
          </w:p>
        </w:tc>
      </w:tr>
    </w:tbl>
    <w:p/>
    <w:p>
      <w:pPr>
        <w:jc w:val="center"/>
      </w:pPr>
      <w:r>
        <w:drawing>
          <wp:inline xmlns:a="http://schemas.openxmlformats.org/drawingml/2006/main" xmlns:pic="http://schemas.openxmlformats.org/drawingml/2006/picture">
            <wp:extent cx="6217920" cy="1661276"/>
            <wp:docPr id="4" name="Picture 4"/>
            <wp:cNvGraphicFramePr>
              <a:graphicFrameLocks noChangeAspect="1"/>
            </wp:cNvGraphicFramePr>
            <a:graphic>
              <a:graphicData uri="http://schemas.openxmlformats.org/drawingml/2006/picture">
                <pic:pic>
                  <pic:nvPicPr>
                    <pic:cNvPr id="0" name="fault_get.png"/>
                    <pic:cNvPicPr/>
                  </pic:nvPicPr>
                  <pic:blipFill>
                    <a:blip r:embed="rId14"/>
                    <a:stretch>
                      <a:fillRect/>
                    </a:stretch>
                  </pic:blipFill>
                  <pic:spPr>
                    <a:xfrm>
                      <a:off x="0" y="0"/>
                      <a:ext cx="6217920" cy="1661276"/>
                    </a:xfrm>
                    <a:prstGeom prst="rect"/>
                  </pic:spPr>
                </pic:pic>
              </a:graphicData>
            </a:graphic>
          </wp:inline>
        </w:drawing>
      </w:r>
    </w:p>
    <w:p>
      <w:pPr>
        <w:jc w:val="center"/>
      </w:pPr>
      <w:r>
        <w:rPr>
          <w:i/>
          <w:color w:val="505050"/>
          <w:sz w:val="18"/>
        </w:rPr>
        <w:t>Şekil 4. Kesinti aşamasında bir CoAP isteğinin yanıtsız kalması ve diğer dalın çalışması.</w:t>
      </w:r>
    </w:p>
    <w:p>
      <w:pPr>
        <w:jc w:val="center"/>
      </w:pPr>
      <w:r>
        <w:drawing>
          <wp:inline xmlns:a="http://schemas.openxmlformats.org/drawingml/2006/main" xmlns:pic="http://schemas.openxmlformats.org/drawingml/2006/picture">
            <wp:extent cx="6309360" cy="942230"/>
            <wp:docPr id="5" name="Picture 5"/>
            <wp:cNvGraphicFramePr>
              <a:graphicFrameLocks noChangeAspect="1"/>
            </wp:cNvGraphicFramePr>
            <a:graphic>
              <a:graphicData uri="http://schemas.openxmlformats.org/drawingml/2006/picture">
                <pic:pic>
                  <pic:nvPicPr>
                    <pic:cNvPr id="0" name="fault_ping_montage.png"/>
                    <pic:cNvPicPr/>
                  </pic:nvPicPr>
                  <pic:blipFill>
                    <a:blip r:embed="rId15"/>
                    <a:stretch>
                      <a:fillRect/>
                    </a:stretch>
                  </pic:blipFill>
                  <pic:spPr>
                    <a:xfrm>
                      <a:off x="0" y="0"/>
                      <a:ext cx="6309360" cy="942230"/>
                    </a:xfrm>
                    <a:prstGeom prst="rect"/>
                  </pic:spPr>
                </pic:pic>
              </a:graphicData>
            </a:graphic>
          </wp:inline>
        </w:drawing>
      </w:r>
    </w:p>
    <w:p>
      <w:pPr>
        <w:jc w:val="center"/>
      </w:pPr>
      <w:r>
        <w:rPr>
          <w:i/>
          <w:color w:val="505050"/>
          <w:sz w:val="18"/>
        </w:rPr>
        <w:t>Şekil 5. Sağırlaştırma sonrası erişilebilir dal ile kopan dalın ping karşılaştırması.</w:t>
      </w:r>
    </w:p>
    <w:p>
      <w:pPr>
        <w:pStyle w:val="Heading1"/>
      </w:pPr>
      <w:r>
        <w:t>8. coap_tree.pcap Paket Analizi</w:t>
      </w:r>
    </w:p>
    <w:p>
      <w:r>
        <w:t>coap_tree.pcap dosyası Ethernet/IPv6 çerçeveleri üzerinden incelenmiş; CoAP trafiği UDP 5683 portu, ağ erişimi ise ICMPv6 paketleri üzerinden özetlenmiştir. Aşağıdaki sayılar doğrudan pcap içeriğinden çıkarılmıştır.</w:t>
      </w:r>
    </w:p>
    <w:tbl>
      <w:tblPr>
        <w:tblStyle w:val="TableGrid"/>
        <w:tblW w:type="auto" w:w="0"/>
        <w:jc w:val="center"/>
        <w:tblLook w:firstColumn="1" w:firstRow="1" w:lastColumn="0" w:lastRow="0" w:noHBand="0" w:noVBand="1" w:val="04A0"/>
      </w:tblPr>
      <w:tblGrid>
        <w:gridCol w:w="5112"/>
        <w:gridCol w:w="5112"/>
      </w:tblGrid>
      <w:tr>
        <w:tc>
          <w:tcPr>
            <w:tcW w:type="dxa" w:w="6624"/>
            <w:vAlign w:val="center"/>
            <w:shd w:fill="123456"/>
          </w:tcPr>
          <w:p>
            <w:r/>
            <w:r>
              <w:rPr>
                <w:b/>
                <w:color w:val="FFFFFF"/>
                <w:sz w:val="19"/>
              </w:rPr>
              <w:t>Metrik</w:t>
            </w:r>
          </w:p>
        </w:tc>
        <w:tc>
          <w:tcPr>
            <w:tcW w:type="dxa" w:w="2016"/>
            <w:vAlign w:val="center"/>
            <w:shd w:fill="123456"/>
          </w:tcPr>
          <w:p>
            <w:r/>
            <w:r>
              <w:rPr>
                <w:b/>
                <w:color w:val="FFFFFF"/>
                <w:sz w:val="19"/>
              </w:rPr>
              <w:t>Sayı</w:t>
            </w:r>
          </w:p>
        </w:tc>
      </w:tr>
      <w:tr>
        <w:tc>
          <w:tcPr>
            <w:tcW w:type="dxa" w:w="6624"/>
            <w:vAlign w:val="center"/>
            <w:shd w:fill="EAF2F8"/>
          </w:tcPr>
          <w:p>
            <w:r/>
            <w:r>
              <w:rPr>
                <w:b w:val="0"/>
                <w:sz w:val="18"/>
              </w:rPr>
              <w:t>Toplam yakalanan paket</w:t>
            </w:r>
          </w:p>
        </w:tc>
        <w:tc>
          <w:tcPr>
            <w:tcW w:type="dxa" w:w="2016"/>
            <w:vAlign w:val="center"/>
          </w:tcPr>
          <w:p>
            <w:r/>
            <w:r>
              <w:rPr>
                <w:b w:val="0"/>
                <w:sz w:val="18"/>
              </w:rPr>
              <w:t>163</w:t>
            </w:r>
          </w:p>
        </w:tc>
      </w:tr>
      <w:tr>
        <w:tc>
          <w:tcPr>
            <w:tcW w:type="dxa" w:w="6624"/>
            <w:vAlign w:val="center"/>
            <w:shd w:fill="EAF2F8"/>
          </w:tcPr>
          <w:p>
            <w:r/>
            <w:r>
              <w:rPr>
                <w:b w:val="0"/>
                <w:sz w:val="18"/>
              </w:rPr>
              <w:t>CoAP/UDP 5683 paketleri</w:t>
            </w:r>
          </w:p>
        </w:tc>
        <w:tc>
          <w:tcPr>
            <w:tcW w:type="dxa" w:w="2016"/>
            <w:vAlign w:val="center"/>
          </w:tcPr>
          <w:p>
            <w:r/>
            <w:r>
              <w:rPr>
                <w:b w:val="0"/>
                <w:sz w:val="18"/>
              </w:rPr>
              <w:t>61</w:t>
            </w:r>
          </w:p>
        </w:tc>
      </w:tr>
      <w:tr>
        <w:tc>
          <w:tcPr>
            <w:tcW w:type="dxa" w:w="6624"/>
            <w:vAlign w:val="center"/>
            <w:shd w:fill="EAF2F8"/>
          </w:tcPr>
          <w:p>
            <w:r/>
            <w:r>
              <w:rPr>
                <w:b w:val="0"/>
                <w:sz w:val="18"/>
              </w:rPr>
              <w:t>ICMPv6 paketleri</w:t>
            </w:r>
          </w:p>
        </w:tc>
        <w:tc>
          <w:tcPr>
            <w:tcW w:type="dxa" w:w="2016"/>
            <w:vAlign w:val="center"/>
          </w:tcPr>
          <w:p>
            <w:r/>
            <w:r>
              <w:rPr>
                <w:b w:val="0"/>
                <w:sz w:val="18"/>
              </w:rPr>
              <w:t>102</w:t>
            </w:r>
          </w:p>
        </w:tc>
      </w:tr>
      <w:tr>
        <w:tc>
          <w:tcPr>
            <w:tcW w:type="dxa" w:w="6624"/>
            <w:vAlign w:val="center"/>
            <w:shd w:fill="EAF2F8"/>
          </w:tcPr>
          <w:p>
            <w:r/>
            <w:r>
              <w:rPr>
                <w:b w:val="0"/>
                <w:sz w:val="18"/>
              </w:rPr>
              <w:t>ICMPv6 Echo Request</w:t>
            </w:r>
          </w:p>
        </w:tc>
        <w:tc>
          <w:tcPr>
            <w:tcW w:type="dxa" w:w="2016"/>
            <w:vAlign w:val="center"/>
          </w:tcPr>
          <w:p>
            <w:r/>
            <w:r>
              <w:rPr>
                <w:b w:val="0"/>
                <w:sz w:val="18"/>
              </w:rPr>
              <w:t>29</w:t>
            </w:r>
          </w:p>
        </w:tc>
      </w:tr>
      <w:tr>
        <w:tc>
          <w:tcPr>
            <w:tcW w:type="dxa" w:w="6624"/>
            <w:vAlign w:val="center"/>
            <w:shd w:fill="EAF2F8"/>
          </w:tcPr>
          <w:p>
            <w:r/>
            <w:r>
              <w:rPr>
                <w:b w:val="0"/>
                <w:sz w:val="18"/>
              </w:rPr>
              <w:t>ICMPv6 Echo Reply</w:t>
            </w:r>
          </w:p>
        </w:tc>
        <w:tc>
          <w:tcPr>
            <w:tcW w:type="dxa" w:w="2016"/>
            <w:vAlign w:val="center"/>
          </w:tcPr>
          <w:p>
            <w:r/>
            <w:r>
              <w:rPr>
                <w:b w:val="0"/>
                <w:sz w:val="18"/>
              </w:rPr>
              <w:t>24</w:t>
            </w:r>
          </w:p>
        </w:tc>
      </w:tr>
      <w:tr>
        <w:tc>
          <w:tcPr>
            <w:tcW w:type="dxa" w:w="6624"/>
            <w:vAlign w:val="center"/>
            <w:shd w:fill="EAF2F8"/>
          </w:tcPr>
          <w:p>
            <w:r/>
            <w:r>
              <w:rPr>
                <w:b w:val="0"/>
                <w:sz w:val="18"/>
              </w:rPr>
              <w:t>Neighbor Solicitation</w:t>
            </w:r>
          </w:p>
        </w:tc>
        <w:tc>
          <w:tcPr>
            <w:tcW w:type="dxa" w:w="2016"/>
            <w:vAlign w:val="center"/>
          </w:tcPr>
          <w:p>
            <w:r/>
            <w:r>
              <w:rPr>
                <w:b w:val="0"/>
                <w:sz w:val="18"/>
              </w:rPr>
              <w:t>25</w:t>
            </w:r>
          </w:p>
        </w:tc>
      </w:tr>
      <w:tr>
        <w:tc>
          <w:tcPr>
            <w:tcW w:type="dxa" w:w="6624"/>
            <w:vAlign w:val="center"/>
            <w:shd w:fill="EAF2F8"/>
          </w:tcPr>
          <w:p>
            <w:r/>
            <w:r>
              <w:rPr>
                <w:b w:val="0"/>
                <w:sz w:val="18"/>
              </w:rPr>
              <w:t>Neighbor Advertisement</w:t>
            </w:r>
          </w:p>
        </w:tc>
        <w:tc>
          <w:tcPr>
            <w:tcW w:type="dxa" w:w="2016"/>
            <w:vAlign w:val="center"/>
          </w:tcPr>
          <w:p>
            <w:r/>
            <w:r>
              <w:rPr>
                <w:b w:val="0"/>
                <w:sz w:val="18"/>
              </w:rPr>
              <w:t>24</w:t>
            </w:r>
          </w:p>
        </w:tc>
      </w:tr>
      <w:tr>
        <w:tc>
          <w:tcPr>
            <w:tcW w:type="dxa" w:w="6624"/>
            <w:vAlign w:val="center"/>
            <w:shd w:fill="EAF2F8"/>
          </w:tcPr>
          <w:p>
            <w:r/>
            <w:r>
              <w:rPr>
                <w:b w:val="0"/>
                <w:sz w:val="18"/>
              </w:rPr>
              <w:t>CoAP GET istekleri</w:t>
            </w:r>
          </w:p>
        </w:tc>
        <w:tc>
          <w:tcPr>
            <w:tcW w:type="dxa" w:w="2016"/>
            <w:vAlign w:val="center"/>
          </w:tcPr>
          <w:p>
            <w:r/>
            <w:r>
              <w:rPr>
                <w:b w:val="0"/>
                <w:sz w:val="18"/>
              </w:rPr>
              <w:t>33</w:t>
            </w:r>
          </w:p>
        </w:tc>
      </w:tr>
      <w:tr>
        <w:tc>
          <w:tcPr>
            <w:tcW w:type="dxa" w:w="6624"/>
            <w:vAlign w:val="center"/>
            <w:shd w:fill="EAF2F8"/>
          </w:tcPr>
          <w:p>
            <w:r/>
            <w:r>
              <w:rPr>
                <w:b w:val="0"/>
                <w:sz w:val="18"/>
              </w:rPr>
              <w:t>CoAP 2.05 Content yanıtları</w:t>
            </w:r>
          </w:p>
        </w:tc>
        <w:tc>
          <w:tcPr>
            <w:tcW w:type="dxa" w:w="2016"/>
            <w:vAlign w:val="center"/>
          </w:tcPr>
          <w:p>
            <w:r/>
            <w:r>
              <w:rPr>
                <w:b w:val="0"/>
                <w:sz w:val="18"/>
              </w:rPr>
              <w:t>28</w:t>
            </w:r>
          </w:p>
        </w:tc>
      </w:tr>
    </w:tbl>
    <w:p/>
    <w:p>
      <w:pPr>
        <w:jc w:val="center"/>
      </w:pPr>
      <w:r>
        <w:drawing>
          <wp:inline xmlns:a="http://schemas.openxmlformats.org/drawingml/2006/main" xmlns:pic="http://schemas.openxmlformats.org/drawingml/2006/picture">
            <wp:extent cx="5212080" cy="2606040"/>
            <wp:docPr id="6" name="Picture 6"/>
            <wp:cNvGraphicFramePr>
              <a:graphicFrameLocks noChangeAspect="1"/>
            </wp:cNvGraphicFramePr>
            <a:graphic>
              <a:graphicData uri="http://schemas.openxmlformats.org/drawingml/2006/picture">
                <pic:pic>
                  <pic:nvPicPr>
                    <pic:cNvPr id="0" name="pcap_protocol_chart.png"/>
                    <pic:cNvPicPr/>
                  </pic:nvPicPr>
                  <pic:blipFill>
                    <a:blip r:embed="rId16"/>
                    <a:stretch>
                      <a:fillRect/>
                    </a:stretch>
                  </pic:blipFill>
                  <pic:spPr>
                    <a:xfrm>
                      <a:off x="0" y="0"/>
                      <a:ext cx="5212080" cy="2606040"/>
                    </a:xfrm>
                    <a:prstGeom prst="rect"/>
                  </pic:spPr>
                </pic:pic>
              </a:graphicData>
            </a:graphic>
          </wp:inline>
        </w:drawing>
      </w:r>
    </w:p>
    <w:p>
      <w:pPr>
        <w:jc w:val="center"/>
      </w:pPr>
      <w:r>
        <w:rPr>
          <w:i/>
          <w:color w:val="505050"/>
          <w:sz w:val="18"/>
        </w:rPr>
        <w:t>Şekil 6. Paket yakalamasındaki ICMPv6 ve CoAP/UDP paket dağılımı.</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23456"/>
          </w:tcPr>
          <w:p>
            <w:r/>
            <w:r>
              <w:rPr>
                <w:b/>
                <w:color w:val="FFFFFF"/>
                <w:sz w:val="19"/>
              </w:rPr>
              <w:t>Hedef</w:t>
            </w:r>
          </w:p>
        </w:tc>
        <w:tc>
          <w:tcPr>
            <w:tcW w:type="dxa" w:w="4464"/>
            <w:vAlign w:val="center"/>
            <w:shd w:fill="123456"/>
          </w:tcPr>
          <w:p>
            <w:r/>
            <w:r>
              <w:rPr>
                <w:b/>
                <w:color w:val="FFFFFF"/>
                <w:sz w:val="19"/>
              </w:rPr>
              <w:t>IPv6</w:t>
            </w:r>
          </w:p>
        </w:tc>
        <w:tc>
          <w:tcPr>
            <w:tcW w:type="dxa" w:w="1440"/>
            <w:vAlign w:val="center"/>
            <w:shd w:fill="123456"/>
          </w:tcPr>
          <w:p>
            <w:r/>
            <w:r>
              <w:rPr>
                <w:b/>
                <w:color w:val="FFFFFF"/>
                <w:sz w:val="19"/>
              </w:rPr>
              <w:t>Ham GET sayısı</w:t>
            </w:r>
          </w:p>
        </w:tc>
        <w:tc>
          <w:tcPr>
            <w:tcW w:type="dxa" w:w="1728"/>
            <w:vAlign w:val="center"/>
            <w:shd w:fill="123456"/>
          </w:tcPr>
          <w:p>
            <w:r/>
            <w:r>
              <w:rPr>
                <w:b/>
                <w:color w:val="FFFFFF"/>
                <w:sz w:val="19"/>
              </w:rPr>
              <w:t>2.05 Content yanıtı</w:t>
            </w:r>
          </w:p>
        </w:tc>
        <w:tc>
          <w:tcPr>
            <w:tcW w:type="dxa" w:w="1440"/>
            <w:vAlign w:val="center"/>
            <w:shd w:fill="123456"/>
          </w:tcPr>
          <w:p>
            <w:r/>
            <w:r>
              <w:rPr>
                <w:b/>
                <w:color w:val="FFFFFF"/>
                <w:sz w:val="19"/>
              </w:rPr>
              <w:t>Genel yanıt oranı</w:t>
            </w:r>
          </w:p>
        </w:tc>
      </w:tr>
      <w:tr>
        <w:tc>
          <w:tcPr>
            <w:tcW w:type="dxa" w:w="1440"/>
            <w:vAlign w:val="center"/>
            <w:shd w:fill="EAF2F8"/>
          </w:tcPr>
          <w:p>
            <w:r/>
            <w:r>
              <w:rPr>
                <w:b w:val="0"/>
                <w:sz w:val="18"/>
              </w:rPr>
              <w:t>Sunucu A</w:t>
            </w:r>
          </w:p>
        </w:tc>
        <w:tc>
          <w:tcPr>
            <w:tcW w:type="dxa" w:w="4464"/>
            <w:vAlign w:val="center"/>
          </w:tcPr>
          <w:p>
            <w:r/>
            <w:r>
              <w:rPr>
                <w:b w:val="0"/>
                <w:sz w:val="18"/>
              </w:rPr>
              <w:t>2001:660:3207:464:ec9a:e5f:f6a3:f2f7</w:t>
            </w:r>
          </w:p>
        </w:tc>
        <w:tc>
          <w:tcPr>
            <w:tcW w:type="dxa" w:w="1440"/>
            <w:vAlign w:val="center"/>
          </w:tcPr>
          <w:p>
            <w:r/>
            <w:r>
              <w:rPr>
                <w:b w:val="0"/>
                <w:sz w:val="18"/>
              </w:rPr>
              <w:t>15</w:t>
            </w:r>
          </w:p>
        </w:tc>
        <w:tc>
          <w:tcPr>
            <w:tcW w:type="dxa" w:w="1728"/>
            <w:vAlign w:val="center"/>
          </w:tcPr>
          <w:p>
            <w:r/>
            <w:r>
              <w:rPr>
                <w:b w:val="0"/>
                <w:sz w:val="18"/>
              </w:rPr>
              <w:t>15</w:t>
            </w:r>
          </w:p>
        </w:tc>
        <w:tc>
          <w:tcPr>
            <w:tcW w:type="dxa" w:w="1440"/>
            <w:vAlign w:val="center"/>
          </w:tcPr>
          <w:p>
            <w:r/>
            <w:r>
              <w:rPr>
                <w:b w:val="0"/>
                <w:sz w:val="18"/>
              </w:rPr>
              <w:t>%100</w:t>
            </w:r>
          </w:p>
        </w:tc>
      </w:tr>
      <w:tr>
        <w:tc>
          <w:tcPr>
            <w:tcW w:type="dxa" w:w="1440"/>
            <w:vAlign w:val="center"/>
            <w:shd w:fill="EAF2F8"/>
          </w:tcPr>
          <w:p>
            <w:r/>
            <w:r>
              <w:rPr>
                <w:b w:val="0"/>
                <w:sz w:val="18"/>
              </w:rPr>
              <w:t>Sunucu B</w:t>
            </w:r>
          </w:p>
        </w:tc>
        <w:tc>
          <w:tcPr>
            <w:tcW w:type="dxa" w:w="4464"/>
            <w:vAlign w:val="center"/>
          </w:tcPr>
          <w:p>
            <w:r/>
            <w:r>
              <w:rPr>
                <w:b w:val="0"/>
                <w:sz w:val="18"/>
              </w:rPr>
              <w:t>2001:660:3207:464:a4cf:e1be:f142:3d06</w:t>
            </w:r>
          </w:p>
        </w:tc>
        <w:tc>
          <w:tcPr>
            <w:tcW w:type="dxa" w:w="1440"/>
            <w:vAlign w:val="center"/>
          </w:tcPr>
          <w:p>
            <w:r/>
            <w:r>
              <w:rPr>
                <w:b w:val="0"/>
                <w:sz w:val="18"/>
              </w:rPr>
              <w:t>18</w:t>
            </w:r>
          </w:p>
        </w:tc>
        <w:tc>
          <w:tcPr>
            <w:tcW w:type="dxa" w:w="1728"/>
            <w:vAlign w:val="center"/>
          </w:tcPr>
          <w:p>
            <w:r/>
            <w:r>
              <w:rPr>
                <w:b w:val="0"/>
                <w:sz w:val="18"/>
              </w:rPr>
              <w:t>13</w:t>
            </w:r>
          </w:p>
        </w:tc>
        <w:tc>
          <w:tcPr>
            <w:tcW w:type="dxa" w:w="1440"/>
            <w:vAlign w:val="center"/>
          </w:tcPr>
          <w:p>
            <w:r/>
            <w:r>
              <w:rPr>
                <w:b w:val="0"/>
                <w:sz w:val="18"/>
              </w:rPr>
              <w:t>%72.2</w:t>
            </w:r>
          </w:p>
        </w:tc>
      </w:tr>
    </w:tbl>
    <w:p/>
    <w:p>
      <w:r>
        <w:t>Not: Bu genel yanıt oranı, normal durum ile kesinti anındaki paketleri birlikte içerir. Sunucu B’deki düşük oran, kesinti aşamasında msgid 46602’ye ait üç yeniden iletilen GET isteğinin yanıt alamamasından kaynaklanmaktadır.</w:t>
      </w:r>
    </w:p>
    <w:p>
      <w:pPr>
        <w:pStyle w:val="Heading1"/>
      </w:pPr>
      <w:r>
        <w:t>9. Teknik Değerlendirme</w:t>
      </w:r>
    </w:p>
    <w:p>
      <w:pPr>
        <w:pStyle w:val="ListBullet"/>
        <w:spacing w:after="40"/>
      </w:pPr>
      <w:r>
        <w:t>Ağaç benzeri yapı altında iki CoAP uç servisine başlangıçta başarılı erişim sağlanmıştır.</w:t>
      </w:r>
    </w:p>
    <w:p>
      <w:pPr>
        <w:pStyle w:val="ListBullet"/>
        <w:spacing w:after="40"/>
      </w:pPr>
      <w:r>
        <w:t>Sunucu A, hem ping hem de paket analizi bakımından daha kararlı bir yol göstermiştir.</w:t>
      </w:r>
    </w:p>
    <w:p>
      <w:pPr>
        <w:pStyle w:val="ListBullet"/>
        <w:spacing w:after="40"/>
      </w:pPr>
      <w:r>
        <w:t>Sunucu B’de normal RTT ölçümünde %20 kayıp ve daha yüksek gecikme gözlenmiş; bu durum ağ yolunun daha zayıf veya daha değişken olduğunu düşündürmüştür.</w:t>
      </w:r>
    </w:p>
    <w:p>
      <w:pPr>
        <w:pStyle w:val="ListBullet"/>
        <w:spacing w:after="40"/>
      </w:pPr>
      <w:r>
        <w:t>Dal kesintisi testinde Sunucu B’nin CoAP ve ping erişimi aynı anda bozulurken Sunucu A çalışmaya devam etmiştir. Bu, tree yapısında bir alt kol arızasının ağın tamamını değil ilgili dalı etkileyebileceğini göstermektedir.</w:t>
      </w:r>
    </w:p>
    <w:p>
      <w:pPr>
        <w:pStyle w:val="ListBullet"/>
        <w:spacing w:after="40"/>
      </w:pPr>
      <w:r>
        <w:t>Pcap içindeki CoAP retransmission izleri, düşük seviyeli paket kaybı veya geç yanıt durumlarında istemci tarafının tekrar deneme davranışını görünür kılmıştır.</w:t>
      </w:r>
    </w:p>
    <w:p>
      <w:pPr>
        <w:pStyle w:val="Heading1"/>
      </w:pPr>
      <w:r>
        <w:t>10. Kapsam ve Sınırlılıklar</w:t>
      </w:r>
    </w:p>
    <w:p>
      <w:r>
        <w:t>Bu rapor, gönderilen ekran görüntüleri ile coap_tree.pcap dosyasındaki doğrulanabilir olayları temel almıştır. Kesinti sonrası kopan dalın kanal geri alındıktan sonraki doğrudan recovery çıktısı, sağlanan görseller içinde açık biçimde yer almadığından toparlanma iddiası sayısal sonuç tablosuna dahil edilmemiştir. Buna karşılık, erişilebilir kalan dalın kesinti sırasında çalıştığı terminal ve pcap düzeyinde doğrulanmıştır.</w:t>
      </w:r>
    </w:p>
    <w:p>
      <w:pPr>
        <w:pStyle w:val="Heading1"/>
      </w:pPr>
      <w:r>
        <w:t>11. Sonuç</w:t>
      </w:r>
    </w:p>
    <w:p>
      <w:r>
        <w:rPr>
          <w:b/>
        </w:rPr>
        <w:t xml:space="preserve">Sonuç olarak, </w:t>
      </w:r>
      <w:r>
        <w:t>CoAP tabanlı tree topoloji deneyi, iki uç sunucuya erişimin sağlanabildiğini, farklı dallar arasında performans farkı oluşabildiğini ve bir dal üzerinde oluşturulan kesintinin diğer dalı zorunlu olarak devre dışı bırakmadığını göstermiştir. Paket analizinde toplam 163 IPv6 çerçevesi; 61 CoAP/UDP 5683 paketi ve 102 ICMPv6 paketi incelenmiştir. Sağırlaştırma aşamasında Sunucu B için CoAP GET isteğinin yanıtsız kaldığı ve ping kaybının %100’e çıktığı, buna karşın Sunucu A’nın erişilebilirliğini koruduğu doğrulanmıştır.</w:t>
      </w:r>
    </w:p>
    <w:p>
      <w:pPr>
        <w:pStyle w:val="Heading1"/>
      </w:pPr>
      <w:r>
        <w:t>Ek A. Rapor İçin Temel Kanıtlar</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23456"/>
          </w:tcPr>
          <w:p>
            <w:r/>
            <w:r>
              <w:rPr>
                <w:b/>
                <w:color w:val="FFFFFF"/>
                <w:sz w:val="19"/>
              </w:rPr>
              <w:t>Kanıt türü</w:t>
            </w:r>
          </w:p>
        </w:tc>
        <w:tc>
          <w:tcPr>
            <w:tcW w:type="dxa" w:w="6912"/>
            <w:vAlign w:val="center"/>
            <w:shd w:fill="123456"/>
          </w:tcPr>
          <w:p>
            <w:r/>
            <w:r>
              <w:rPr>
                <w:b/>
                <w:color w:val="FFFFFF"/>
                <w:sz w:val="19"/>
              </w:rPr>
              <w:t>Rapor içindeki kullanımı</w:t>
            </w:r>
          </w:p>
        </w:tc>
      </w:tr>
      <w:tr>
        <w:tc>
          <w:tcPr>
            <w:tcW w:type="dxa" w:w="2880"/>
            <w:vAlign w:val="center"/>
            <w:shd w:fill="EAF2F8"/>
          </w:tcPr>
          <w:p>
            <w:r/>
            <w:r>
              <w:rPr>
                <w:b w:val="0"/>
                <w:sz w:val="18"/>
              </w:rPr>
              <w:t>Terminal çıktıları</w:t>
            </w:r>
          </w:p>
        </w:tc>
        <w:tc>
          <w:tcPr>
            <w:tcW w:type="dxa" w:w="6912"/>
            <w:vAlign w:val="center"/>
          </w:tcPr>
          <w:p>
            <w:r/>
            <w:r>
              <w:rPr>
                <w:b w:val="0"/>
                <w:sz w:val="18"/>
              </w:rPr>
              <w:t>GET yanıtları, ping sonuçları, sağırlaştırma sonrası timeout davranışı</w:t>
            </w:r>
          </w:p>
        </w:tc>
      </w:tr>
      <w:tr>
        <w:tc>
          <w:tcPr>
            <w:tcW w:type="dxa" w:w="2880"/>
            <w:vAlign w:val="center"/>
            <w:shd w:fill="EAF2F8"/>
          </w:tcPr>
          <w:p>
            <w:r/>
            <w:r>
              <w:rPr>
                <w:b w:val="0"/>
                <w:sz w:val="18"/>
              </w:rPr>
              <w:t>Pcap analizi</w:t>
            </w:r>
          </w:p>
        </w:tc>
        <w:tc>
          <w:tcPr>
            <w:tcW w:type="dxa" w:w="6912"/>
            <w:vAlign w:val="center"/>
          </w:tcPr>
          <w:p>
            <w:r/>
            <w:r>
              <w:rPr>
                <w:b w:val="0"/>
                <w:sz w:val="18"/>
              </w:rPr>
              <w:t>CoAP GET / 2.05 Content sayıları, ICMPv6 echo dağılımı, retransmission izleri</w:t>
            </w:r>
          </w:p>
        </w:tc>
      </w:tr>
      <w:tr>
        <w:tc>
          <w:tcPr>
            <w:tcW w:type="dxa" w:w="2880"/>
            <w:vAlign w:val="center"/>
            <w:shd w:fill="EAF2F8"/>
          </w:tcPr>
          <w:p>
            <w:r/>
            <w:r>
              <w:rPr>
                <w:b w:val="0"/>
                <w:sz w:val="18"/>
              </w:rPr>
              <w:t>Topoloji bilgisi</w:t>
            </w:r>
          </w:p>
        </w:tc>
        <w:tc>
          <w:tcPr>
            <w:tcW w:type="dxa" w:w="6912"/>
            <w:vAlign w:val="center"/>
          </w:tcPr>
          <w:p>
            <w:r/>
            <w:r>
              <w:rPr>
                <w:b w:val="0"/>
                <w:sz w:val="18"/>
              </w:rPr>
              <w:t>a8-100 border router; a8-103/a8-105 RPL router; a8-104/a8-106 CoAP server</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Hazırlanan deney raporu - CoAP Tree Topoloji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7"/>
      </w:rPr>
      <w:t>FIT IoT-LAB | RIOT OS | CoAP Ağaç Topoloji Deney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4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