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DENEY RAPORU</w:t>
      </w:r>
    </w:p>
    <w:p>
      <w:pPr>
        <w:jc w:val="center"/>
      </w:pPr>
      <w:r>
        <w:rPr>
          <w:b/>
          <w:sz w:val="28"/>
        </w:rPr>
        <w:t>MQTT-SN ve CoAP Protokollerinin FIT IoT-LAB Üzerinde Karşılaştırmalı Analizi</w:t>
      </w:r>
    </w:p>
    <w:p/>
    <w:p>
      <w:pPr>
        <w:jc w:val="center"/>
      </w:pPr>
      <w:r>
        <w:t>Öğrenci: Hakan Dönmez   |   No: 20010011038</w:t>
        <w:br/>
        <w:t>Tarih: 26.05.2026</w:t>
        <w:br/>
        <w:t>FIT IoT-LAB — Saclay Sitesi, 15× A8-M3 Düğümü</w:t>
        <w:br/>
        <w:t>RIOT OS | 6LoWPAN/802.15.4 | RPL Routing</w:t>
      </w:r>
    </w:p>
    <w:p>
      <w:r>
        <w:br w:type="page"/>
      </w:r>
    </w:p>
    <w:p>
      <w:pPr>
        <w:pStyle w:val="Heading1"/>
      </w:pPr>
      <w:r>
        <w:t>1. Giriş</w:t>
      </w:r>
    </w:p>
    <w:p>
      <w:pPr>
        <w:spacing w:after="80"/>
      </w:pPr>
      <w:r>
        <w:rPr>
          <w:b w:val="0"/>
          <w:sz w:val="20"/>
        </w:rPr>
        <w:t>Bu deney raporu, kısıtlı IoT ortamlarında yaygın olarak kullanılan iki uygulama katmanı protokolünün — MQTT-SN ve CoAP — performansını FIT IoT-LAB testbed üzerinde karşılaştırmalı olarak değerlendirmektedir. Deneyler üç farklı ağ topolojisinde (ağaç, yıldız, doğrusal) 15 adet A8-M3 düğümü ile gerçekleştirilmiştir. Temel performans metrikleri olarak Paket İletim Oranı (PDR), Gidiş-Dönüş Gecikmesi (RTT) ve paket yapısı Wireshark/tshark ile analiz edilmiştir.</w:t>
      </w:r>
    </w:p>
    <w:p>
      <w:pPr>
        <w:pStyle w:val="Heading1"/>
      </w:pPr>
      <w:r>
        <w:t>2. Deneysel Kurulum</w:t>
      </w:r>
    </w:p>
    <w:p>
      <w:pPr>
        <w:pStyle w:val="Heading2"/>
      </w:pPr>
      <w:r>
        <w:t>2.1 Donanım ve Platform</w:t>
      </w:r>
    </w:p>
    <w:p>
      <w:pPr>
        <w:spacing w:after="80"/>
      </w:pPr>
      <w:r>
        <w:rPr>
          <w:b w:val="0"/>
          <w:sz w:val="20"/>
        </w:rPr>
        <w:t>FIT IoT-LAB (Saclay sitesi) üzerinde çalışan 15× IoT-LAB A8-M3 düğümü kullanılmıştır. Her düğüm ARM Cortex-A8 (Linux) + ARM Cortex-M3 (RIOT OS) + AT86RF231 802.15.4 radyosundan oluşmaktadır. RF kanalı 26 (2.480 GHz), yönlendirme protokolü RPL (RFC 6550)'dir.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E3F2FD" w:val="clear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4703"/>
          </w:tcPr>
          <w:p>
            <w:r>
              <w:t>FIT IoT-LAB Saclay</w:t>
            </w:r>
          </w:p>
        </w:tc>
      </w:tr>
      <w:tr>
        <w:tc>
          <w:tcPr>
            <w:tcW w:type="dxa" w:w="4703"/>
            <w:shd w:fill="E3F2FD" w:val="clear"/>
          </w:tcPr>
          <w:p>
            <w:r>
              <w:rPr>
                <w:b/>
              </w:rPr>
              <w:t>Düğüm tipi</w:t>
            </w:r>
          </w:p>
        </w:tc>
        <w:tc>
          <w:tcPr>
            <w:tcW w:type="dxa" w:w="4703"/>
          </w:tcPr>
          <w:p>
            <w:r>
              <w:t>IoT-LAB A8-M3 (Cortex-A8 + Cortex-M3)</w:t>
            </w:r>
          </w:p>
        </w:tc>
      </w:tr>
      <w:tr>
        <w:tc>
          <w:tcPr>
            <w:tcW w:type="dxa" w:w="4703"/>
            <w:shd w:fill="E3F2FD" w:val="clear"/>
          </w:tcPr>
          <w:p>
            <w:r>
              <w:rPr>
                <w:b/>
              </w:rPr>
              <w:t>İşletim sistemi</w:t>
            </w:r>
          </w:p>
        </w:tc>
        <w:tc>
          <w:tcPr>
            <w:tcW w:type="dxa" w:w="4703"/>
          </w:tcPr>
          <w:p>
            <w:r>
              <w:t>RIOT OS</w:t>
            </w:r>
          </w:p>
        </w:tc>
      </w:tr>
      <w:tr>
        <w:tc>
          <w:tcPr>
            <w:tcW w:type="dxa" w:w="4703"/>
            <w:shd w:fill="E3F2FD" w:val="clear"/>
          </w:tcPr>
          <w:p>
            <w:r>
              <w:rPr>
                <w:b/>
              </w:rPr>
              <w:t>Radyo</w:t>
            </w:r>
          </w:p>
        </w:tc>
        <w:tc>
          <w:tcPr>
            <w:tcW w:type="dxa" w:w="4703"/>
          </w:tcPr>
          <w:p>
            <w:r>
              <w:t>IEEE 802.15.4 — AT86RF231, Kanal 26</w:t>
            </w:r>
          </w:p>
        </w:tc>
      </w:tr>
      <w:tr>
        <w:tc>
          <w:tcPr>
            <w:tcW w:type="dxa" w:w="4703"/>
            <w:shd w:fill="E3F2FD" w:val="clear"/>
          </w:tcPr>
          <w:p>
            <w:r>
              <w:rPr>
                <w:b/>
              </w:rPr>
              <w:t>MQTT-SN kütüphanesi</w:t>
            </w:r>
          </w:p>
        </w:tc>
        <w:tc>
          <w:tcPr>
            <w:tcW w:type="dxa" w:w="4703"/>
          </w:tcPr>
          <w:p>
            <w:r>
              <w:t>emcute (RIOT built-in)</w:t>
            </w:r>
          </w:p>
        </w:tc>
      </w:tr>
      <w:tr>
        <w:tc>
          <w:tcPr>
            <w:tcW w:type="dxa" w:w="4703"/>
            <w:shd w:fill="E3F2FD" w:val="clear"/>
          </w:tcPr>
          <w:p>
            <w:r>
              <w:rPr>
                <w:b/>
              </w:rPr>
              <w:t>CoAP kütüphanesi</w:t>
            </w:r>
          </w:p>
        </w:tc>
        <w:tc>
          <w:tcPr>
            <w:tcW w:type="dxa" w:w="4703"/>
          </w:tcPr>
          <w:p>
            <w:r>
              <w:t>gcoap (RIOT built-in)</w:t>
            </w:r>
          </w:p>
        </w:tc>
      </w:tr>
      <w:tr>
        <w:tc>
          <w:tcPr>
            <w:tcW w:type="dxa" w:w="4703"/>
            <w:shd w:fill="E3F2FD" w:val="clear"/>
          </w:tcPr>
          <w:p>
            <w:r>
              <w:rPr>
                <w:b/>
              </w:rPr>
              <w:t>MQTT-SN broker</w:t>
            </w:r>
          </w:p>
        </w:tc>
        <w:tc>
          <w:tcPr>
            <w:tcW w:type="dxa" w:w="4703"/>
          </w:tcPr>
          <w:p>
            <w:r>
              <w:t>mosquitto RSMB (A8 Linux)</w:t>
            </w:r>
          </w:p>
        </w:tc>
      </w:tr>
      <w:tr>
        <w:tc>
          <w:tcPr>
            <w:tcW w:type="dxa" w:w="4703"/>
            <w:shd w:fill="E3F2FD" w:val="clear"/>
          </w:tcPr>
          <w:p>
            <w:r>
              <w:rPr>
                <w:b/>
              </w:rPr>
              <w:t>Border router</w:t>
            </w:r>
          </w:p>
        </w:tc>
        <w:tc>
          <w:tcPr>
            <w:tcW w:type="dxa" w:w="4703"/>
          </w:tcPr>
          <w:p>
            <w:r>
              <w:t>a8-103</w:t>
            </w:r>
          </w:p>
        </w:tc>
      </w:tr>
      <w:tr>
        <w:tc>
          <w:tcPr>
            <w:tcW w:type="dxa" w:w="4703"/>
            <w:shd w:fill="E3F2FD" w:val="clear"/>
          </w:tcPr>
          <w:p>
            <w:r>
              <w:rPr>
                <w:b/>
              </w:rPr>
              <w:t>Sensör düğümleri</w:t>
            </w:r>
          </w:p>
        </w:tc>
        <w:tc>
          <w:tcPr>
            <w:tcW w:type="dxa" w:w="4703"/>
          </w:tcPr>
          <w:p>
            <w:r>
              <w:t>14× (a8-97 .. a8-112)</w:t>
            </w:r>
          </w:p>
        </w:tc>
      </w:tr>
    </w:tbl>
    <w:p/>
    <w:p>
      <w:pPr>
        <w:pStyle w:val="Heading2"/>
      </w:pPr>
      <w:r>
        <w:t>2.2 Topoloji Tasarımı</w:t>
      </w:r>
    </w:p>
    <w:p>
      <w:pPr>
        <w:spacing w:after="80"/>
      </w:pPr>
      <w:r>
        <w:rPr>
          <w:b w:val="0"/>
          <w:sz w:val="20"/>
        </w:rPr>
        <w:t>Ağaç topolojisi RPL protokolü ile otomatik oluşturulmuştur. TX güç seviyeleri ile 3 kademeli hiyerarşi zorlanmıştır: Kademe 0 (kök/border router), Kademe 1 (+0 dBm), Kademe 2 (−10 dBm), Kademe 3 yaprak düğümler (−17 dBm). Yıldız topolojisinde tüm sensörler doğrudan border router'a bağlıdır. Doğrusal topolojide düğümler zincir biçimindedir.</w:t>
      </w:r>
    </w:p>
    <w:p>
      <w:pPr>
        <w:pStyle w:val="Heading1"/>
      </w:pPr>
      <w:r>
        <w:t>3. Metodoloji</w:t>
      </w:r>
    </w:p>
    <w:p>
      <w:pPr>
        <w:pStyle w:val="Heading2"/>
      </w:pPr>
      <w:r>
        <w:t>3.1 MQTT-SN Deneyi</w:t>
      </w:r>
    </w:p>
    <w:p>
      <w:pPr>
        <w:spacing w:after="80"/>
      </w:pPr>
      <w:r>
        <w:rPr>
          <w:b w:val="0"/>
          <w:sz w:val="20"/>
        </w:rPr>
        <w:t>Border router A8 Linux tarafında RSMB broker başlatılmıştır. M3 sensörler RIOT emcute kütüphanesi ile broker'a bağlanmış; ağaç topolojisinde QoS-1 (PUBACK onaylı), yıldız/doğrusal topolojilerde QoS-0 kullanılmıştır. RTT ölçümü QoS-1'de PUBLISH→PUBACK zaman farkı, QoS-0'da PINGREQ→PINGRESP zaman farkı ile yapılmıştır.</w:t>
      </w:r>
    </w:p>
    <w:p>
      <w:pPr>
        <w:pStyle w:val="Heading2"/>
      </w:pPr>
      <w:r>
        <w:t>3.2 CoAP Deneyi</w:t>
      </w:r>
    </w:p>
    <w:p>
      <w:pPr>
        <w:spacing w:after="80"/>
      </w:pPr>
      <w:r>
        <w:rPr>
          <w:b w:val="0"/>
          <w:sz w:val="20"/>
        </w:rPr>
        <w:t>Bir düğüm CoAP sunucusu (gcoap), diğerleri istemci olarak yapılandırılmıştır. İstemciler /metrics/rtt kaynağına Confirmable (CON) POST göndermiştir. RTT = ACK alım zamanı − CON gönderim zamanı. PDR = ACK alınan / CON gönderilen.</w:t>
      </w:r>
    </w:p>
    <w:p>
      <w:pPr>
        <w:pStyle w:val="Heading2"/>
      </w:pPr>
      <w:r>
        <w:t>3.3 Wireshark / Tshark Analizi</w:t>
      </w:r>
    </w:p>
    <w:p>
      <w:pPr>
        <w:spacing w:after="80"/>
      </w:pPr>
      <w:r>
        <w:rPr>
          <w:b w:val="0"/>
          <w:sz w:val="20"/>
        </w:rPr>
        <w:t>A8 Linux tarafından wpan0 arayüzü üzerinden 802.15.4 trafiği tshark ile yakalanmıştır. Yakalama dosyaları (.pcap) Python Scapy kütüphanesi ile analiz edilmiş; CoAP mesaj kimliklerine ve MQTT-SN mesaj tiplerine göre RTT ve PDR hesaplanmıştır.</w:t>
      </w:r>
    </w:p>
    <w:p>
      <w:pPr>
        <w:pStyle w:val="Heading1"/>
      </w:pPr>
      <w:r>
        <w:t>4. Bulgular</w:t>
      </w:r>
    </w:p>
    <w:p>
      <w:pPr>
        <w:pStyle w:val="Heading2"/>
      </w:pPr>
      <w:r>
        <w:t>4.1 Ölçüm Sonuçları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1247"/>
            <w:shd w:fill="1565C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Protokol</w:t>
            </w:r>
          </w:p>
        </w:tc>
        <w:tc>
          <w:tcPr>
            <w:tcW w:type="dxa" w:w="1247"/>
            <w:shd w:fill="1565C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Topoloji</w:t>
            </w:r>
          </w:p>
        </w:tc>
        <w:tc>
          <w:tcPr>
            <w:tcW w:type="dxa" w:w="907"/>
            <w:shd w:fill="1565C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Toplam</w:t>
              <w:br/>
              <w:t>Paket</w:t>
            </w:r>
          </w:p>
        </w:tc>
        <w:tc>
          <w:tcPr>
            <w:tcW w:type="dxa" w:w="1020"/>
            <w:shd w:fill="1565C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Gönderilen</w:t>
            </w:r>
          </w:p>
        </w:tc>
        <w:tc>
          <w:tcPr>
            <w:tcW w:type="dxa" w:w="850"/>
            <w:shd w:fill="1565C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Alınan</w:t>
            </w:r>
          </w:p>
        </w:tc>
        <w:tc>
          <w:tcPr>
            <w:tcW w:type="dxa" w:w="850"/>
            <w:shd w:fill="1565C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PDR (%)</w:t>
            </w:r>
          </w:p>
        </w:tc>
        <w:tc>
          <w:tcPr>
            <w:tcW w:type="dxa" w:w="1020"/>
            <w:shd w:fill="1565C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RTT Ort.</w:t>
              <w:br/>
              <w:t>(ms)</w:t>
            </w:r>
          </w:p>
        </w:tc>
        <w:tc>
          <w:tcPr>
            <w:tcW w:type="dxa" w:w="1020"/>
            <w:shd w:fill="1565C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RTT Med.</w:t>
              <w:br/>
              <w:t>(ms)</w:t>
            </w:r>
          </w:p>
        </w:tc>
        <w:tc>
          <w:tcPr>
            <w:tcW w:type="dxa" w:w="1020"/>
            <w:shd w:fill="1565C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RTT p95</w:t>
              <w:br/>
              <w:t>(ms)</w:t>
            </w:r>
          </w:p>
        </w:tc>
        <w:tc>
          <w:tcPr>
            <w:tcW w:type="dxa" w:w="1984"/>
            <w:shd w:fill="1565C0" w:val="clea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Not</w:t>
            </w:r>
          </w:p>
        </w:tc>
      </w:tr>
      <w:tr>
        <w:tc>
          <w:tcPr>
            <w:tcW w:type="dxa" w:w="1247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MQTT-SN</w:t>
            </w:r>
          </w:p>
        </w:tc>
        <w:tc>
          <w:tcPr>
            <w:tcW w:type="dxa" w:w="1247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Ağaç</w:t>
            </w:r>
          </w:p>
        </w:tc>
        <w:tc>
          <w:tcPr>
            <w:tcW w:type="dxa" w:w="907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562</w:t>
            </w:r>
          </w:p>
        </w:tc>
        <w:tc>
          <w:tcPr>
            <w:tcW w:type="dxa" w:w="1020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850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850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100.0</w:t>
            </w:r>
          </w:p>
        </w:tc>
        <w:tc>
          <w:tcPr>
            <w:tcW w:type="dxa" w:w="1020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15.9</w:t>
            </w:r>
          </w:p>
        </w:tc>
        <w:tc>
          <w:tcPr>
            <w:tcW w:type="dxa" w:w="1020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15.6</w:t>
            </w:r>
          </w:p>
        </w:tc>
        <w:tc>
          <w:tcPr>
            <w:tcW w:type="dxa" w:w="1020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19.6</w:t>
            </w:r>
          </w:p>
        </w:tc>
        <w:tc>
          <w:tcPr>
            <w:tcW w:type="dxa" w:w="1984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QoS-1, PUBACK</w:t>
            </w:r>
          </w:p>
        </w:tc>
      </w:tr>
      <w:tr>
        <w:tc>
          <w:tcPr>
            <w:tcW w:type="dxa" w:w="1247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MQTT-SN</w:t>
            </w:r>
          </w:p>
        </w:tc>
        <w:tc>
          <w:tcPr>
            <w:tcW w:type="dxa" w:w="1247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Doğrusal</w:t>
            </w:r>
          </w:p>
        </w:tc>
        <w:tc>
          <w:tcPr>
            <w:tcW w:type="dxa" w:w="907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726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100.0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1.8</w:t>
            </w:r>
          </w:p>
        </w:tc>
        <w:tc>
          <w:tcPr>
            <w:tcW w:type="dxa" w:w="1984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QoS-0, PINGRESP</w:t>
            </w:r>
          </w:p>
        </w:tc>
      </w:tr>
      <w:tr>
        <w:tc>
          <w:tcPr>
            <w:tcW w:type="dxa" w:w="1247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MQTT-SN</w:t>
            </w:r>
          </w:p>
        </w:tc>
        <w:tc>
          <w:tcPr>
            <w:tcW w:type="dxa" w:w="1247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Yıldız</w:t>
            </w:r>
          </w:p>
        </w:tc>
        <w:tc>
          <w:tcPr>
            <w:tcW w:type="dxa" w:w="907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680</w:t>
            </w:r>
          </w:p>
        </w:tc>
        <w:tc>
          <w:tcPr>
            <w:tcW w:type="dxa" w:w="1020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850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850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38.5</w:t>
            </w:r>
          </w:p>
        </w:tc>
        <w:tc>
          <w:tcPr>
            <w:tcW w:type="dxa" w:w="1020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1020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2.0</w:t>
            </w:r>
          </w:p>
        </w:tc>
        <w:tc>
          <w:tcPr>
            <w:tcW w:type="dxa" w:w="1020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2.1</w:t>
            </w:r>
          </w:p>
        </w:tc>
        <w:tc>
          <w:tcPr>
            <w:tcW w:type="dxa" w:w="1984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QoS-0, PINGRESP</w:t>
            </w:r>
          </w:p>
        </w:tc>
      </w:tr>
      <w:tr>
        <w:tc>
          <w:tcPr>
            <w:tcW w:type="dxa" w:w="1247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CoAP</w:t>
            </w:r>
          </w:p>
        </w:tc>
        <w:tc>
          <w:tcPr>
            <w:tcW w:type="dxa" w:w="1247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Ağaç</w:t>
            </w:r>
          </w:p>
        </w:tc>
        <w:tc>
          <w:tcPr>
            <w:tcW w:type="dxa" w:w="907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163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84.8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21.8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20.5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31.1</w:t>
            </w:r>
          </w:p>
        </w:tc>
        <w:tc>
          <w:tcPr>
            <w:tcW w:type="dxa" w:w="1984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CON/ACK</w:t>
            </w:r>
          </w:p>
        </w:tc>
      </w:tr>
      <w:tr>
        <w:tc>
          <w:tcPr>
            <w:tcW w:type="dxa" w:w="1247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CoAP</w:t>
            </w:r>
          </w:p>
        </w:tc>
        <w:tc>
          <w:tcPr>
            <w:tcW w:type="dxa" w:w="1247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Doğrusal</w:t>
            </w:r>
          </w:p>
        </w:tc>
        <w:tc>
          <w:tcPr>
            <w:tcW w:type="dxa" w:w="907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147</w:t>
            </w:r>
          </w:p>
        </w:tc>
        <w:tc>
          <w:tcPr>
            <w:tcW w:type="dxa" w:w="1020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850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type="dxa" w:w="850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61.9</w:t>
            </w:r>
          </w:p>
        </w:tc>
        <w:tc>
          <w:tcPr>
            <w:tcW w:type="dxa" w:w="1020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18.0</w:t>
            </w:r>
          </w:p>
        </w:tc>
        <w:tc>
          <w:tcPr>
            <w:tcW w:type="dxa" w:w="1020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17.7</w:t>
            </w:r>
          </w:p>
        </w:tc>
        <w:tc>
          <w:tcPr>
            <w:tcW w:type="dxa" w:w="1020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19.7</w:t>
            </w:r>
          </w:p>
        </w:tc>
        <w:tc>
          <w:tcPr>
            <w:tcW w:type="dxa" w:w="1984"/>
            <w:shd w:fill="EEF2FF" w:val="clear"/>
          </w:tcPr>
          <w:p>
            <w:pPr>
              <w:jc w:val="center"/>
            </w:pPr>
            <w:r>
              <w:rPr>
                <w:sz w:val="16"/>
              </w:rPr>
              <w:t>CON/ACK</w:t>
            </w:r>
          </w:p>
        </w:tc>
      </w:tr>
      <w:tr>
        <w:tc>
          <w:tcPr>
            <w:tcW w:type="dxa" w:w="1247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CoAP</w:t>
            </w:r>
          </w:p>
        </w:tc>
        <w:tc>
          <w:tcPr>
            <w:tcW w:type="dxa" w:w="1247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Yıldız</w:t>
            </w:r>
          </w:p>
        </w:tc>
        <w:tc>
          <w:tcPr>
            <w:tcW w:type="dxa" w:w="907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79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type="dxa" w:w="850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100.0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17.7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17.4</w:t>
            </w:r>
          </w:p>
        </w:tc>
        <w:tc>
          <w:tcPr>
            <w:tcW w:type="dxa" w:w="1020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19.0</w:t>
            </w:r>
          </w:p>
        </w:tc>
        <w:tc>
          <w:tcPr>
            <w:tcW w:type="dxa" w:w="1984"/>
            <w:shd w:fill="FFFFFF" w:val="clear"/>
          </w:tcPr>
          <w:p>
            <w:pPr>
              <w:jc w:val="center"/>
            </w:pPr>
            <w:r>
              <w:rPr>
                <w:sz w:val="16"/>
              </w:rPr>
              <w:t>CON/ACK</w:t>
            </w:r>
          </w:p>
        </w:tc>
      </w:tr>
    </w:tbl>
    <w:p>
      <w:r>
        <w:rPr>
          <w:i/>
        </w:rPr>
        <w:t>Tablo 1: Tüm deneyler için PDR ve RTT ölçüm sonuçları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8264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26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Şekil 1: RTT, PDR ve paket sayısı karşılaştırması — tüm topolojiler</w:t>
      </w:r>
    </w:p>
    <w:p>
      <w:r>
        <w:br w:type="page"/>
      </w:r>
    </w:p>
    <w:p>
      <w:pPr>
        <w:pStyle w:val="Heading1"/>
      </w:pPr>
      <w:r>
        <w:t>4.2 Wireshark Paket Analizi Görüntüleri</w:t>
      </w:r>
    </w:p>
    <w:p>
      <w:pPr>
        <w:spacing w:after="80"/>
      </w:pPr>
      <w:r>
        <w:rPr>
          <w:b w:val="0"/>
          <w:sz w:val="20"/>
        </w:rPr>
        <w:t>Aşağıda her topoloji ve protokol için 802.15.4 arayüzünden yakalanan pcap dosyalarının paket boyutu/zaman ve paketler-arası süre (IAT) grafikleri verilmiştir.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242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shark_mqttsn_tre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24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Şekil 2: MQTT-SN — Ağaç Topolojisi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242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shark_mqttsn_st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24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Şekil 3: MQTT-SN — Yıldız Topolojisi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242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shark_mqttsn_line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24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Şekil 4: MQTT-SN — Doğrusal Topoloji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242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shark_coap_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24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Şekil 5: CoAP — Ağaç Topolojisi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2424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shark_coap_sta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24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Şekil 6: CoAP — Yıldız Topolojisi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92424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reshark_coap_linea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24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6"/>
        </w:rPr>
        <w:t>Şekil 7: CoAP — Doğrusal Topoloji</w:t>
      </w:r>
    </w:p>
    <w:p/>
    <w:p>
      <w:r>
        <w:br w:type="page"/>
      </w:r>
    </w:p>
    <w:p>
      <w:pPr>
        <w:pStyle w:val="Heading1"/>
      </w:pPr>
      <w:r>
        <w:t>5. Analiz ve Tartışma</w:t>
      </w:r>
    </w:p>
    <w:p>
      <w:pPr>
        <w:pStyle w:val="Heading2"/>
      </w:pPr>
      <w:r>
        <w:t>5.1 Ağaç Topolojisi</w:t>
      </w:r>
    </w:p>
    <w:p>
      <w:pPr>
        <w:spacing w:after="80"/>
      </w:pPr>
      <w:r>
        <w:rPr>
          <w:b w:val="0"/>
          <w:sz w:val="20"/>
        </w:rPr>
        <w:t>MQTT-SN, QoS-1 mekanizması sayesinde %100 PDR ve 15.9 ms ortalama RTT elde etmiştir. CoAP %84.8 PDR ve 21.8 ms RTT kaydetmiştir. MQTT-SN broker üzerinden merkezi yönlendirmesi çok atlamalı ağaç yapısında daha kararlı çalışmıştır.</w:t>
      </w:r>
    </w:p>
    <w:p>
      <w:pPr>
        <w:pStyle w:val="Heading2"/>
      </w:pPr>
      <w:r>
        <w:t>5.2 Yıldız Topolojisi</w:t>
      </w:r>
    </w:p>
    <w:p>
      <w:pPr>
        <w:spacing w:after="80"/>
      </w:pPr>
      <w:r>
        <w:rPr>
          <w:b w:val="0"/>
          <w:sz w:val="20"/>
        </w:rPr>
        <w:t>CoAP %100 PDR ve 17.7 ms RTT ile mükemmel performans gösterirken, MQTT-SN PINGRESP PDR'si %38.5'e düşmüştür. Çok düğümlü eş zamanlı bağlanma (8× CONNECT/CONNACK) broker aşırı yüklemesine yol açmış olabilir.</w:t>
      </w:r>
    </w:p>
    <w:p>
      <w:pPr>
        <w:pStyle w:val="Heading2"/>
      </w:pPr>
      <w:r>
        <w:t>5.3 Doğrusal Topoloji</w:t>
      </w:r>
    </w:p>
    <w:p>
      <w:pPr>
        <w:spacing w:after="80"/>
      </w:pPr>
      <w:r>
        <w:rPr>
          <w:b w:val="0"/>
          <w:sz w:val="20"/>
        </w:rPr>
        <w:t>CoAP %61.9 PDR ve 18.0 ms RTT elde etmiştir. MQTT-SN QoS-0 ile çalışmış; yalnızca 2 PINGREQ/PINGRESP ölçülebildiğinden istatistiksel güvenilirlik düşüktür. Çok atlama kayıpları CoAP CON/ACK oranını azaltmaktadır.</w:t>
      </w:r>
    </w:p>
    <w:p>
      <w:pPr>
        <w:pStyle w:val="Heading2"/>
      </w:pPr>
      <w:r>
        <w:t>5.4 Protokol Karşılaştırması</w:t>
      </w:r>
    </w:p>
    <w:p>
      <w:pPr>
        <w:spacing w:after="80"/>
      </w:pPr>
      <w:r>
        <w:rPr>
          <w:b w:val="0"/>
          <w:sz w:val="20"/>
        </w:rPr>
        <w:t>MQTT-SN: Broker tabanlı pub/sub model. QoS-1 güvenilir iletim. Küçük başlık boyutu (2-5 bayt) kısıtlı düğümler için verimli. Ağaç topolojisinde üstün.</w:t>
        <w:br/>
        <w:br/>
        <w:t>CoAP: İstek/yanıt modeli, broker gerektirmez. CON/ACK yerleşik güvenilirlik. Yıldız topolojisinde %100 PDR. Çok atlamalı senaryolarda kayıp artar.</w:t>
      </w:r>
    </w:p>
    <w:p>
      <w:r>
        <w:br w:type="page"/>
      </w:r>
    </w:p>
    <w:p>
      <w:pPr>
        <w:pStyle w:val="Heading1"/>
      </w:pPr>
      <w:r>
        <w:t>6. Sonuç</w:t>
      </w:r>
    </w:p>
    <w:p>
      <w:pPr>
        <w:spacing w:after="80"/>
      </w:pPr>
      <w:r>
        <w:rPr>
          <w:b w:val="0"/>
          <w:sz w:val="20"/>
        </w:rPr>
        <w:t>Bu çalışmada MQTT-SN ve CoAP FIT IoT-LAB testbedinde üç farklı topoloji altında deneysel olarak karşılaştırılmıştır:</w:t>
        <w:br/>
        <w:br/>
        <w:t>• Ağaç topolojisi: MQTT-SN üstün PDR (%100 vs %84.8) ve düşük RTT (15.9 ms vs 21.8 ms).</w:t>
        <w:br/>
        <w:t>• Yıldız topolojisi: CoAP %100 PDR ve 17.7 ms RTT ile daha iyi.</w:t>
        <w:br/>
        <w:t>• Doğrusal topoloji: CoAP %61.9 PDR ile ölçülebilir sonuç; MQTT-SN QoS-0 sınırlı veri.</w:t>
        <w:br/>
        <w:br/>
        <w:t>MQTT-SN hiyerarşik ağaç yapılarında avantajlıdır. CoAP broker gerektirmeyen, yıldız veya küçük ölçekli ağlarda tercih edilmelidir.</w:t>
      </w:r>
    </w:p>
    <w:p>
      <w:pPr>
        <w:pStyle w:val="Heading1"/>
      </w:pPr>
      <w:r>
        <w:t>7. Kaynaklar</w:t>
      </w:r>
    </w:p>
    <w:p>
      <w:pPr>
        <w:pStyle w:val="ListBullet"/>
      </w:pPr>
      <w:r>
        <w:rPr>
          <w:sz w:val="18"/>
        </w:rPr>
        <w:t>[1] Palmese et al., "CoAP vs. MQTT-SN Comparison and Performance Evaluation in Publish-Subscribe Environments," WF-IoT 2019.</w:t>
      </w:r>
    </w:p>
    <w:p>
      <w:pPr>
        <w:pStyle w:val="ListBullet"/>
      </w:pPr>
      <w:r>
        <w:rPr>
          <w:sz w:val="18"/>
        </w:rPr>
        <w:t>[2] Adjih et al., "FIT IoT-LAB: A Large Scale Open Experimental IoT Testbed," IEEE WF-IoT 2015.</w:t>
      </w:r>
    </w:p>
    <w:p>
      <w:pPr>
        <w:pStyle w:val="ListBullet"/>
      </w:pPr>
      <w:r>
        <w:rPr>
          <w:sz w:val="18"/>
        </w:rPr>
        <w:t>[3] RIOT OS Documentation — emcute / gcoap modules. https://riot-os.org</w:t>
      </w:r>
    </w:p>
    <w:p>
      <w:pPr>
        <w:pStyle w:val="ListBullet"/>
      </w:pPr>
      <w:r>
        <w:rPr>
          <w:sz w:val="18"/>
        </w:rPr>
        <w:t>[4] RFC 7252 — The Constrained Application Protocol (CoAP), IETF 2014.</w:t>
      </w:r>
    </w:p>
    <w:p>
      <w:pPr>
        <w:pStyle w:val="ListBullet"/>
      </w:pPr>
      <w:r>
        <w:rPr>
          <w:sz w:val="18"/>
        </w:rPr>
        <w:t>[5] OASIS MQTT-SN v1.2 Specification, 2013.</w:t>
      </w:r>
    </w:p>
    <w:p>
      <w:pPr>
        <w:pStyle w:val="ListBullet"/>
      </w:pPr>
      <w:r>
        <w:rPr>
          <w:sz w:val="18"/>
        </w:rPr>
        <w:t>[6] RFC 6550 — RPL: IPv6 Routing Protocol for Low-Power and Lossy Networks, 2012.</w:t>
      </w:r>
    </w:p>
    <w:p/>
    <w:p>
      <w:pPr>
        <w:jc w:val="center"/>
      </w:pPr>
      <w:r>
        <w:rPr>
          <w:i/>
          <w:color w:val="777777"/>
          <w:sz w:val="16"/>
        </w:rPr>
        <w:t>Bu rapor FIT IoT-LAB Saclay sitesindeki deneyler ve pcap verileri temel alınarak üretilmiştir. Tarih: 26.05.2026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47A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D47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