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CutBook</w:t>
      </w:r>
    </w:p>
    <w:p>
      <w:pPr>
        <w:pStyle w:val="Normal"/>
        <w:rPr/>
      </w:pPr>
      <w:r>
        <w:rPr/>
      </w:r>
    </w:p>
    <w:p>
      <w:pPr>
        <w:pStyle w:val="Normal"/>
        <w:jc w:val="center"/>
        <w:rPr/>
      </w:pPr>
      <w:r>
        <w:rPr>
          <w:i/>
          <w:sz w:val="28"/>
        </w:rPr>
        <w:t>Project Definition Document</w:t>
      </w:r>
    </w:p>
    <w:p>
      <w:pPr>
        <w:pStyle w:val="Normal"/>
        <w:jc w:val="center"/>
        <w:rPr/>
      </w:pPr>
      <w:r>
        <w:rPr>
          <w:sz w:val="22"/>
          <w:szCs w:val="22"/>
        </w:rPr>
        <w:t>Contributors: Onur Üstün, Hakan Beşikçi, Mehmet Efe Saraç, Sahra Yağmur Berk</w:t>
      </w:r>
    </w:p>
    <w:p>
      <w:pPr>
        <w:pStyle w:val="Normal"/>
        <w:rPr/>
      </w:pPr>
      <w:r>
        <w:rPr/>
      </w:r>
      <w:r>
        <w:br w:type="page"/>
      </w:r>
    </w:p>
    <w:p>
      <w:pPr>
        <w:pStyle w:val="Heading1"/>
        <w:spacing w:before="0" w:after="0"/>
        <w:rPr/>
      </w:pPr>
      <w:r>
        <w:rPr/>
        <w:t>Table of Contents</w:t>
      </w:r>
    </w:p>
    <w:p>
      <w:pPr>
        <w:pStyle w:val="ListBullet"/>
        <w:numPr>
          <w:ilvl w:val="0"/>
          <w:numId w:val="1"/>
        </w:numPr>
        <w:rPr/>
      </w:pPr>
      <w:r>
        <w:rPr/>
        <w:t>1. Project Name</w:t>
      </w:r>
    </w:p>
    <w:p>
      <w:pPr>
        <w:pStyle w:val="ListBullet"/>
        <w:numPr>
          <w:ilvl w:val="0"/>
          <w:numId w:val="1"/>
        </w:numPr>
        <w:rPr/>
      </w:pPr>
      <w:r>
        <w:rPr/>
        <w:t>2. Project Summary</w:t>
      </w:r>
    </w:p>
    <w:p>
      <w:pPr>
        <w:pStyle w:val="ListBullet"/>
        <w:numPr>
          <w:ilvl w:val="0"/>
          <w:numId w:val="1"/>
        </w:numPr>
        <w:rPr/>
      </w:pPr>
      <w:r>
        <w:rPr/>
        <w:t>3. Objectives</w:t>
      </w:r>
    </w:p>
    <w:p>
      <w:pPr>
        <w:pStyle w:val="ListBullet"/>
        <w:numPr>
          <w:ilvl w:val="0"/>
          <w:numId w:val="1"/>
        </w:numPr>
        <w:rPr/>
      </w:pPr>
      <w:r>
        <w:rPr/>
        <w:t>4. Assumptions and Dependencies</w:t>
      </w:r>
    </w:p>
    <w:p>
      <w:pPr>
        <w:pStyle w:val="ListBullet"/>
        <w:numPr>
          <w:ilvl w:val="0"/>
          <w:numId w:val="1"/>
        </w:numPr>
        <w:rPr/>
      </w:pPr>
      <w:r>
        <w:rPr/>
        <w:t>5</w:t>
      </w:r>
      <w:r>
        <w:rPr/>
        <w:t>. Scope</w:t>
      </w:r>
    </w:p>
    <w:p>
      <w:pPr>
        <w:pStyle w:val="ListBullet"/>
        <w:numPr>
          <w:ilvl w:val="0"/>
          <w:numId w:val="1"/>
        </w:numPr>
        <w:rPr/>
      </w:pPr>
      <w:r>
        <w:rPr/>
        <w:t>6</w:t>
      </w:r>
      <w:r>
        <w:rPr/>
        <w:t>. Target Audience</w:t>
      </w:r>
    </w:p>
    <w:p>
      <w:pPr>
        <w:pStyle w:val="ListBullet"/>
        <w:numPr>
          <w:ilvl w:val="0"/>
          <w:numId w:val="1"/>
        </w:numPr>
        <w:rPr/>
      </w:pPr>
      <w:r>
        <w:rPr/>
        <w:t>7</w:t>
      </w:r>
      <w:r>
        <w:rPr/>
        <w:t>. Key Features</w:t>
      </w:r>
    </w:p>
    <w:p>
      <w:pPr>
        <w:pStyle w:val="ListBullet"/>
        <w:numPr>
          <w:ilvl w:val="0"/>
          <w:numId w:val="1"/>
        </w:numPr>
        <w:rPr/>
      </w:pPr>
      <w:r>
        <w:rPr/>
        <w:t>8</w:t>
      </w:r>
      <w:r>
        <w:rPr/>
        <w:t>. Deliverables</w:t>
      </w:r>
    </w:p>
    <w:p>
      <w:pPr>
        <w:pStyle w:val="ListBullet"/>
        <w:numPr>
          <w:ilvl w:val="0"/>
          <w:numId w:val="1"/>
        </w:numPr>
        <w:rPr/>
      </w:pPr>
      <w:r>
        <w:rPr/>
        <w:t>9</w:t>
      </w:r>
      <w:r>
        <w:rPr/>
        <w:t>. Budget and Resources</w:t>
      </w:r>
    </w:p>
    <w:p>
      <w:pPr>
        <w:pStyle w:val="ListBullet"/>
        <w:numPr>
          <w:ilvl w:val="0"/>
          <w:numId w:val="1"/>
        </w:numPr>
        <w:rPr/>
      </w:pPr>
      <w:r>
        <w:rPr/>
        <w:t>10</w:t>
      </w:r>
      <w:r>
        <w:rPr/>
        <w:t>. Risks and Mitigation Strategies</w:t>
      </w:r>
    </w:p>
    <w:p>
      <w:pPr>
        <w:pStyle w:val="ListBullet"/>
        <w:numPr>
          <w:ilvl w:val="0"/>
          <w:numId w:val="1"/>
        </w:numPr>
        <w:rPr/>
      </w:pPr>
      <w:r>
        <w:rPr/>
        <w:t>1</w:t>
      </w:r>
      <w:r>
        <w:rPr/>
        <w:t>1</w:t>
      </w:r>
      <w:r>
        <w:rPr/>
        <w:t>. Project Success Criteria</w:t>
      </w:r>
    </w:p>
    <w:p>
      <w:pPr>
        <w:pStyle w:val="ListBullet"/>
        <w:numPr>
          <w:ilvl w:val="0"/>
          <w:numId w:val="1"/>
        </w:numPr>
        <w:rPr/>
      </w:pPr>
      <w:r>
        <w:rPr/>
        <w:t>1</w:t>
      </w:r>
      <w:r>
        <w:rPr/>
        <w:t>2</w:t>
      </w:r>
      <w:r>
        <w:rPr/>
        <w:t>. Glossary</w:t>
      </w:r>
    </w:p>
    <w:p>
      <w:pPr>
        <w:pStyle w:val="ListBullet"/>
        <w:numPr>
          <w:ilvl w:val="0"/>
          <w:numId w:val="1"/>
        </w:numPr>
        <w:rPr/>
      </w:pPr>
      <w:r>
        <w:rPr/>
        <w:t>13. References</w:t>
      </w:r>
    </w:p>
    <w:p>
      <w:pPr>
        <w:pStyle w:val="ListBullet"/>
        <w:numPr>
          <w:ilvl w:val="0"/>
          <w:numId w:val="1"/>
        </w:numPr>
        <w:rPr/>
      </w:pPr>
      <w:r>
        <w:rPr/>
        <w:t>1</w:t>
      </w:r>
      <w:r>
        <w:rPr/>
        <w:t>4</w:t>
      </w:r>
      <w:r>
        <w:rPr/>
        <w:t>. Document-Specific Task Matrix</w:t>
      </w:r>
    </w:p>
    <w:p>
      <w:pPr>
        <w:pStyle w:val="Normal"/>
        <w:rPr/>
      </w:pPr>
      <w:r>
        <w:rPr/>
      </w:r>
      <w:r>
        <w:br w:type="page"/>
      </w:r>
    </w:p>
    <w:p>
      <w:pPr>
        <w:pStyle w:val="Heading1"/>
        <w:spacing w:before="0" w:after="0"/>
        <w:rPr/>
      </w:pPr>
      <w:r>
        <w:rPr/>
        <w:t>Project Name</w:t>
      </w:r>
    </w:p>
    <w:p>
      <w:pPr>
        <w:pStyle w:val="Normal"/>
        <w:rPr/>
      </w:pPr>
      <w:r>
        <w:rPr/>
        <w:t>CutBook</w:t>
      </w:r>
    </w:p>
    <w:p>
      <w:pPr>
        <w:pStyle w:val="Heading1"/>
        <w:rPr/>
      </w:pPr>
      <w:r>
        <w:rPr/>
        <w:t>Project Summary</w:t>
      </w:r>
    </w:p>
    <w:p>
      <w:pPr>
        <w:pStyle w:val="Normal"/>
        <w:rPr/>
      </w:pPr>
      <w:r>
        <w:rPr/>
        <w:t>CutBook, berber ve güzellik salonlarında randevuların büyük ölçüde telefon üzerinden alınmasından doğan karışıklığı azaltmak için geliştirilen kullanıcı dostu bir randevu ve işletme yönetim sistemidir. Telefonla randevu alma sürecinde sık görülen saat çakışmaları, yanlış/eksik not alınan istekler, yoğun saatlerde aramaların cevaplanamaması ve unutulan randevular gibi problemler hem müşterinin deneyimini zayıflatır hem de işletmenin günlük operasyonunu aksatır. CutBook, bu süreci tek bir dijital akışta toplayarak randevu oluşturma ve yönetim adımlarını daha düzenli ve izlenebilir hale getirir.</w:t>
      </w:r>
    </w:p>
    <w:p>
      <w:pPr>
        <w:pStyle w:val="Normal"/>
        <w:rPr/>
      </w:pPr>
      <w:r>
        <w:rPr/>
        <w:t>Projenin amacı; müşterilerin uygun zaman aralıklarını hızlıca görüntüleyip kolayca randevu alabilmesi, işletme tarafının ise randevuları takvim üzerinden takip ederek planlamayı netleştirmesidir. Böylece müşteriler için daha hızlı erişim ve daha az iletişim problemi, işletmeler için ise daha verimli zaman yönetimi, daha düşük hata oranı ve daha stressiz bir iş akışı hedeflenir.</w:t>
      </w:r>
    </w:p>
    <w:p>
      <w:pPr>
        <w:pStyle w:val="Heading1"/>
        <w:rPr/>
      </w:pPr>
      <w:r>
        <w:rPr/>
        <w:t>Objectives</w:t>
      </w:r>
    </w:p>
    <w:p>
      <w:pPr>
        <w:pStyle w:val="ListBullet"/>
        <w:numPr>
          <w:ilvl w:val="0"/>
          <w:numId w:val="1"/>
        </w:numPr>
        <w:rPr/>
      </w:pPr>
      <w:r>
        <w:rPr/>
        <w:t>Müşterilerin seçtikleri işletmeden uygun gün ve saatte randevu oluşturabilmesi.</w:t>
      </w:r>
    </w:p>
    <w:p>
      <w:pPr>
        <w:pStyle w:val="ListBullet"/>
        <w:numPr>
          <w:ilvl w:val="0"/>
          <w:numId w:val="1"/>
        </w:numPr>
        <w:rPr/>
      </w:pPr>
      <w:r>
        <w:rPr/>
        <w:t>Müşterilerin mevcut randevularını belirli kurallar dahilinde iptal edebilmesi.</w:t>
      </w:r>
    </w:p>
    <w:p>
      <w:pPr>
        <w:pStyle w:val="ListBullet"/>
        <w:numPr>
          <w:ilvl w:val="0"/>
          <w:numId w:val="1"/>
        </w:numPr>
        <w:rPr/>
      </w:pPr>
      <w:r>
        <w:rPr/>
        <w:t>Kullanıcıların randevuları takvim görünümünde listeleyebilmesi.</w:t>
      </w:r>
    </w:p>
    <w:p>
      <w:pPr>
        <w:pStyle w:val="ListBullet"/>
        <w:numPr>
          <w:ilvl w:val="0"/>
          <w:numId w:val="1"/>
        </w:numPr>
        <w:rPr/>
      </w:pPr>
      <w:r>
        <w:rPr/>
        <w:t>İşletme sahiplerinin çalışma saatleri ve uygunluk (availability) bilgilerini tanımlayabilmesi.</w:t>
      </w:r>
    </w:p>
    <w:p>
      <w:pPr>
        <w:pStyle w:val="ListBullet"/>
        <w:numPr>
          <w:ilvl w:val="0"/>
          <w:numId w:val="1"/>
        </w:numPr>
        <w:rPr/>
      </w:pPr>
      <w:r>
        <w:rPr/>
        <w:t>Temel kullanıcı yönetimi ile müşteri ve işletme hesabı işlemlerinin yapılabilmesi (kayıt/giriş).</w:t>
      </w:r>
    </w:p>
    <w:p>
      <w:pPr>
        <w:pStyle w:val="ListBullet"/>
        <w:numPr>
          <w:ilvl w:val="0"/>
          <w:numId w:val="0"/>
        </w:numPr>
        <w:rPr/>
      </w:pPr>
      <w:r>
        <w:rPr/>
      </w:r>
    </w:p>
    <w:p>
      <w:pPr>
        <w:pStyle w:val="Heading1"/>
        <w:rPr/>
      </w:pPr>
      <w:r>
        <w:rPr/>
        <w:t>Assumptions and Dependencies</w:t>
      </w:r>
    </w:p>
    <w:p>
      <w:pPr>
        <w:pStyle w:val="BodyText"/>
        <w:rPr/>
      </w:pPr>
      <w:r>
        <w:rPr>
          <w:rStyle w:val="Strong"/>
        </w:rPr>
        <w:t>İş Mantığı Varsayımı:</w:t>
      </w:r>
      <w:r>
        <w:rPr/>
        <w:t> İşletmelerin verdikleri hizmetlerin belirli ve sabit süreli randevu aralıklarına (slot - örneğin 30'ar veya 60'ar dakika) bölünebilir olduğu varsayılmıştır.</w:t>
      </w:r>
    </w:p>
    <w:p>
      <w:pPr>
        <w:pStyle w:val="BodyText"/>
        <w:rPr/>
      </w:pPr>
      <w:r>
        <w:rPr>
          <w:rStyle w:val="Strong"/>
        </w:rPr>
        <w:t>Kullanıcı Varsayımı:</w:t>
      </w:r>
      <w:r>
        <w:rPr/>
        <w:t> Kullanıcıların sisteme erişirken modern tarayıcılar (Chrome, Edge, Firefox vb.) kullanacağı ve uygulamanın çalıştığı sunucuya/ağa erişimleri olduğu varsayılmıştır.</w:t>
      </w:r>
    </w:p>
    <w:p>
      <w:pPr>
        <w:pStyle w:val="BodyText"/>
        <w:rPr/>
      </w:pPr>
      <w:r>
        <w:rPr>
          <w:rStyle w:val="Strong"/>
        </w:rPr>
        <w:t>Altyapı Bağımlılığı:</w:t>
      </w:r>
      <w:r>
        <w:rPr/>
        <w:t> Sistemin çalıştırılabilmesi için ilgili cihazda/sunucuda </w:t>
      </w:r>
      <w:r>
        <w:rPr>
          <w:rStyle w:val="Strong"/>
          <w:b w:val="false"/>
          <w:bCs w:val="false"/>
        </w:rPr>
        <w:t>Java 17</w:t>
      </w:r>
      <w:r>
        <w:rPr>
          <w:rStyle w:val="Strong"/>
          <w:b w:val="false"/>
          <w:bCs w:val="false"/>
        </w:rPr>
        <w:t>+</w:t>
      </w:r>
      <w:r>
        <w:rPr/>
        <w:t>, </w:t>
      </w:r>
      <w:r>
        <w:rPr>
          <w:rStyle w:val="Strong"/>
          <w:b w:val="false"/>
          <w:bCs w:val="false"/>
        </w:rPr>
        <w:t>Node.js</w:t>
      </w:r>
      <w:r>
        <w:rPr>
          <w:b w:val="false"/>
          <w:bCs w:val="false"/>
        </w:rPr>
        <w:t> </w:t>
      </w:r>
      <w:r>
        <w:rPr/>
        <w:t>ve arayüz için npm/yarn paket yöneticilerinin kurulu olmasına bağımlıdır.</w:t>
      </w:r>
    </w:p>
    <w:p>
      <w:pPr>
        <w:pStyle w:val="BodyText"/>
        <w:rPr/>
      </w:pPr>
      <w:r>
        <w:rPr>
          <w:rStyle w:val="Strong"/>
        </w:rPr>
        <w:t>Veri Bağımlılığı:</w:t>
      </w:r>
      <w:r>
        <w:rPr/>
        <w:t> Sistemin temel işlevlerini yerine getirebilmesi, randevuları ve kullanıcıları tutabilmesi tamamen </w:t>
      </w:r>
      <w:r>
        <w:rPr>
          <w:rStyle w:val="Strong"/>
          <w:b w:val="false"/>
          <w:bCs w:val="false"/>
        </w:rPr>
        <w:t>PostgreSQL</w:t>
      </w:r>
      <w:r>
        <w:rPr/>
        <w:t> veritabanı sunucusunun aktif olarak çalışmasına bağımlıdır. PostgreSQL olmadan sistem ayağa kalkamaz.</w:t>
      </w:r>
    </w:p>
    <w:p>
      <w:pPr>
        <w:pStyle w:val="Heading1"/>
        <w:rPr/>
      </w:pPr>
      <w:r>
        <w:rPr/>
        <w:t>Scope</w:t>
      </w:r>
    </w:p>
    <w:p>
      <w:pPr>
        <w:pStyle w:val="Heading2"/>
        <w:rPr/>
      </w:pPr>
      <w:r>
        <w:rPr/>
        <w:t>In Scope (Bu projede dahil olanlar):</w:t>
      </w:r>
    </w:p>
    <w:p>
      <w:pPr>
        <w:pStyle w:val="ListBullet"/>
        <w:numPr>
          <w:ilvl w:val="0"/>
          <w:numId w:val="1"/>
        </w:numPr>
        <w:rPr/>
      </w:pPr>
      <w:r>
        <w:rPr/>
        <w:t>Web tabanlı bir uygulama üzerinden randevu alma ve iptal etme.</w:t>
      </w:r>
    </w:p>
    <w:p>
      <w:pPr>
        <w:pStyle w:val="ListBullet"/>
        <w:numPr>
          <w:ilvl w:val="0"/>
          <w:numId w:val="1"/>
        </w:numPr>
        <w:rPr/>
      </w:pPr>
      <w:r>
        <w:rPr/>
        <w:t>İşletme ekleme.</w:t>
      </w:r>
    </w:p>
    <w:p>
      <w:pPr>
        <w:pStyle w:val="ListBullet"/>
        <w:numPr>
          <w:ilvl w:val="0"/>
          <w:numId w:val="1"/>
        </w:numPr>
        <w:rPr/>
      </w:pPr>
      <w:r>
        <w:rPr/>
        <w:t>Takvim arayüzü ile randevuların görüntülenmesi.</w:t>
      </w:r>
    </w:p>
    <w:p>
      <w:pPr>
        <w:pStyle w:val="ListBullet"/>
        <w:numPr>
          <w:ilvl w:val="0"/>
          <w:numId w:val="1"/>
        </w:numPr>
        <w:rPr/>
      </w:pPr>
      <w:r>
        <w:rPr/>
        <w:t>Randevu çakışmasını önleyen zaman aralığı kontrolü.</w:t>
      </w:r>
    </w:p>
    <w:p>
      <w:pPr>
        <w:pStyle w:val="ListBullet"/>
        <w:numPr>
          <w:ilvl w:val="0"/>
          <w:numId w:val="1"/>
        </w:numPr>
        <w:rPr/>
      </w:pPr>
      <w:r>
        <w:rPr/>
        <w:t>Basit yetkilendirme: müşteri ve işletme hesaplarının farklı işlemlere erişebilmesi (aynı uygulama içinde).</w:t>
      </w:r>
    </w:p>
    <w:p>
      <w:pPr>
        <w:pStyle w:val="Heading2"/>
        <w:rPr/>
      </w:pPr>
      <w:r>
        <w:rPr/>
        <w:t>Out of Scope (Bu proje kapsamında olmayanlar):</w:t>
      </w:r>
    </w:p>
    <w:p>
      <w:pPr>
        <w:pStyle w:val="ListBullet"/>
        <w:numPr>
          <w:ilvl w:val="0"/>
          <w:numId w:val="1"/>
        </w:numPr>
        <w:rPr/>
      </w:pPr>
      <w:r>
        <w:rPr/>
        <w:t>Ödeme alma altyapısı (online payment), faturalandırma veya abonelik sistemi.</w:t>
      </w:r>
    </w:p>
    <w:p>
      <w:pPr>
        <w:pStyle w:val="ListBullet"/>
        <w:numPr>
          <w:ilvl w:val="0"/>
          <w:numId w:val="1"/>
        </w:numPr>
        <w:rPr/>
      </w:pPr>
      <w:r>
        <w:rPr/>
        <w:t>Çok şubeli/ülke çapı ölçeklenme, franchise yönetimi veya ileri seviye kurumsal raporlama.</w:t>
      </w:r>
    </w:p>
    <w:p>
      <w:pPr>
        <w:pStyle w:val="ListBullet"/>
        <w:numPr>
          <w:ilvl w:val="0"/>
          <w:numId w:val="1"/>
        </w:numPr>
        <w:rPr/>
      </w:pPr>
      <w:r>
        <w:rPr/>
        <w:t>Mobil uygulama geliştirme.</w:t>
      </w:r>
    </w:p>
    <w:p>
      <w:pPr>
        <w:pStyle w:val="ListBullet"/>
        <w:numPr>
          <w:ilvl w:val="0"/>
          <w:numId w:val="1"/>
        </w:numPr>
        <w:rPr/>
      </w:pPr>
      <w:r>
        <w:rPr/>
        <w:t>Gelişmiş pazarlama modülleri (kampanya, puan/loyalty) ve otomatik SMS entegrasyonları.</w:t>
      </w:r>
    </w:p>
    <w:p>
      <w:pPr>
        <w:pStyle w:val="ListBullet"/>
        <w:numPr>
          <w:ilvl w:val="0"/>
          <w:numId w:val="1"/>
        </w:numPr>
        <w:rPr/>
      </w:pPr>
      <w:r>
        <w:rPr/>
        <w:t>Çok farklı/özelleştirilmiş kullanıcı arayüzleri tasarlamak; tek bir tutarlı arayüz ve rol bazlı erişim hedeflenir.</w:t>
      </w:r>
    </w:p>
    <w:p>
      <w:pPr>
        <w:pStyle w:val="Heading1"/>
        <w:rPr/>
      </w:pPr>
      <w:r>
        <w:rPr/>
        <w:t>Target Audience</w:t>
      </w:r>
    </w:p>
    <w:p>
      <w:pPr>
        <w:pStyle w:val="Normal"/>
        <w:rPr/>
      </w:pPr>
      <w:r>
        <w:rPr/>
        <w:t>Saç ve kişisel bakım hizmeti almak isteyen müşteriler ile bu hizmetleri sunan berber ve güzellik salonu işletme sahipleri.</w:t>
      </w:r>
    </w:p>
    <w:p>
      <w:pPr>
        <w:pStyle w:val="Heading2"/>
        <w:rPr/>
      </w:pPr>
      <w:r>
        <w:rPr/>
        <w:t>Sağlanan Fayda Önerisi</w:t>
      </w:r>
    </w:p>
    <w:p>
      <w:pPr>
        <w:pStyle w:val="Normal"/>
        <w:ind w:hanging="0" w:start="0" w:end="0"/>
        <w:rPr/>
      </w:pPr>
      <w:r>
        <w:rPr>
          <w:rStyle w:val="Emphasis"/>
          <w:b w:val="false"/>
          <w:bCs w:val="false"/>
          <w:i w:val="false"/>
          <w:iCs w:val="false"/>
        </w:rPr>
        <w:t>CutBook</w:t>
      </w:r>
      <w:r>
        <w:rPr>
          <w:rStyle w:val="Emphasis"/>
          <w:b w:val="false"/>
          <w:bCs w:val="false"/>
          <w:i w:val="false"/>
          <w:iCs w:val="false"/>
        </w:rPr>
        <w:t>, küçük esnafın dijitalleşme sürecine destek olarak onların </w:t>
      </w:r>
      <w:r>
        <w:rPr>
          <w:rStyle w:val="Strong"/>
          <w:b w:val="false"/>
          <w:bCs w:val="false"/>
          <w:i w:val="false"/>
          <w:iCs w:val="false"/>
        </w:rPr>
        <w:t>teknoloji okur-yazarlığının</w:t>
      </w:r>
      <w:r>
        <w:rPr>
          <w:rStyle w:val="Emphasis"/>
          <w:b w:val="false"/>
          <w:bCs w:val="false"/>
          <w:i w:val="false"/>
          <w:iCs w:val="false"/>
        </w:rPr>
        <w:t> artmasına doğrudan katkı sağlamaktadır. Ayrıca defter ve kağıt kullanımı ile yürütülen klasik randevu sistemlerinin dijitale taşınması, kâğıt israfını engelleyerek uzun vadede çevre bilincine (iklim ve orman koruma hedeflerine) küçük fakat etkili bir katkı sunmaktadır.</w:t>
      </w:r>
    </w:p>
    <w:p>
      <w:pPr>
        <w:pStyle w:val="Heading1"/>
        <w:rPr/>
      </w:pPr>
      <w:r>
        <w:rPr/>
        <w:t>Key Features</w:t>
      </w:r>
    </w:p>
    <w:p>
      <w:pPr>
        <w:pStyle w:val="ListBullet"/>
        <w:numPr>
          <w:ilvl w:val="0"/>
          <w:numId w:val="1"/>
        </w:numPr>
        <w:rPr/>
      </w:pPr>
      <w:r>
        <w:rPr/>
        <w:t>İşletme listeleme ve işletme detay sayfası (temel bilgiler ve hizmetler).</w:t>
      </w:r>
    </w:p>
    <w:p>
      <w:pPr>
        <w:pStyle w:val="ListBullet"/>
        <w:numPr>
          <w:ilvl w:val="0"/>
          <w:numId w:val="1"/>
        </w:numPr>
        <w:rPr/>
      </w:pPr>
      <w:r>
        <w:rPr/>
        <w:t>Uygunluk ve zaman slotu görüntüleme (tarih/saat seçimi).</w:t>
      </w:r>
    </w:p>
    <w:p>
      <w:pPr>
        <w:pStyle w:val="ListBullet"/>
        <w:numPr>
          <w:ilvl w:val="0"/>
          <w:numId w:val="1"/>
        </w:numPr>
        <w:rPr/>
      </w:pPr>
      <w:r>
        <w:rPr/>
        <w:t>Randevu oluşturma (müşteri).</w:t>
      </w:r>
    </w:p>
    <w:p>
      <w:pPr>
        <w:pStyle w:val="ListBullet"/>
        <w:numPr>
          <w:ilvl w:val="0"/>
          <w:numId w:val="1"/>
        </w:numPr>
        <w:rPr/>
      </w:pPr>
      <w:r>
        <w:rPr/>
        <w:t>Randevu iptal etme (müşteri).</w:t>
      </w:r>
    </w:p>
    <w:p>
      <w:pPr>
        <w:pStyle w:val="ListBullet"/>
        <w:numPr>
          <w:ilvl w:val="0"/>
          <w:numId w:val="1"/>
        </w:numPr>
        <w:rPr/>
      </w:pPr>
      <w:r>
        <w:rPr/>
        <w:t>Takvim arayüzü ile randevu görüntüleme (işletme).</w:t>
      </w:r>
    </w:p>
    <w:p>
      <w:pPr>
        <w:pStyle w:val="ListBullet"/>
        <w:numPr>
          <w:ilvl w:val="0"/>
          <w:numId w:val="1"/>
        </w:numPr>
        <w:rPr/>
      </w:pPr>
      <w:r>
        <w:rPr/>
        <w:t>İşletme ekleme ve profil yönetimi (işletme).</w:t>
      </w:r>
    </w:p>
    <w:p>
      <w:pPr>
        <w:pStyle w:val="Heading1"/>
        <w:rPr/>
      </w:pPr>
      <w:r>
        <w:rPr/>
        <w:t>Deliverables</w:t>
      </w:r>
    </w:p>
    <w:p>
      <w:pPr>
        <w:pStyle w:val="ListBullet"/>
        <w:numPr>
          <w:ilvl w:val="0"/>
          <w:numId w:val="1"/>
        </w:numPr>
        <w:rPr/>
      </w:pPr>
      <w:r>
        <w:rPr/>
        <w:t>Çalışır durumda bir web uygulaması (front-end + back-end) ve veritabanı.</w:t>
      </w:r>
    </w:p>
    <w:p>
      <w:pPr>
        <w:pStyle w:val="ListBullet"/>
        <w:numPr>
          <w:ilvl w:val="0"/>
          <w:numId w:val="1"/>
        </w:numPr>
        <w:rPr/>
      </w:pPr>
      <w:r>
        <w:rPr/>
        <w:t>Kurulum ve çalıştırma yönergeleri (README) ve temel kullanıcı kılavuzu.</w:t>
      </w:r>
    </w:p>
    <w:p>
      <w:pPr>
        <w:pStyle w:val="ListBullet"/>
        <w:numPr>
          <w:ilvl w:val="0"/>
          <w:numId w:val="1"/>
        </w:numPr>
        <w:rPr/>
      </w:pPr>
      <w:r>
        <w:rPr/>
        <w:t>Test senaryoları ve kısa bir test raporu (en az temel akışlar için).</w:t>
      </w:r>
    </w:p>
    <w:p>
      <w:pPr>
        <w:pStyle w:val="ListBullet"/>
        <w:numPr>
          <w:ilvl w:val="0"/>
          <w:numId w:val="1"/>
        </w:numPr>
        <w:rPr/>
      </w:pPr>
      <w:r>
        <w:rPr/>
        <w:t>Demo sunumu veya kısa demo videosu (proje değerlendirmesi için).</w:t>
      </w:r>
    </w:p>
    <w:p>
      <w:pPr>
        <w:pStyle w:val="ListBullet"/>
        <w:numPr>
          <w:ilvl w:val="0"/>
          <w:numId w:val="1"/>
        </w:numPr>
        <w:rPr/>
      </w:pPr>
      <w:r>
        <w:rPr/>
        <w:t>Proje teslimleri kapsamında hazırlanmış proje dokümanları (Definition, Plan, Requirements).</w:t>
      </w:r>
    </w:p>
    <w:p>
      <w:pPr>
        <w:pStyle w:val="Heading1"/>
        <w:rPr/>
      </w:pPr>
      <w:r>
        <w:rPr/>
        <w:t>Budget and Resources</w:t>
      </w:r>
    </w:p>
    <w:p>
      <w:pPr>
        <w:pStyle w:val="Normal"/>
        <w:rPr/>
      </w:pPr>
      <w:r>
        <w:rPr/>
        <w:t>Kaynaklar: Ekip üyelerinin zamanı, GitHub reposu, seçilen IDE (VS Code vb.), React tabanlı frontend, Java temelli backend, SQL tabanlı veritabanı (PostgreSQL/MySQL), ve çevrim içi öğrenme kaynakları (resmi dokümantasyonlar, eğitim videoları). Bütçe: Bu proje için ücretli bir servis zorunlu değildir; geliştirme yerel ortamda ve ücretsiz araçlarla yürütülecektir.</w:t>
      </w:r>
    </w:p>
    <w:p>
      <w:pPr>
        <w:pStyle w:val="Heading1"/>
        <w:rPr/>
      </w:pPr>
      <w:r>
        <w:rPr/>
        <w:t>Risks and Mitigation Strategies</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680"/>
        <w:gridCol w:w="4680"/>
      </w:tblGrid>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Risk</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Mitigation</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Teknik öğrenme eğrisi</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Erken prototip, küçük adımlarla geliştirme, resmi dokümantasyon.</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Zaman planına uyamama</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Haftalık hedef/sprint, Issue takibi, MVP önceliklendirme.</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Kapsam kayması</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Out-of-scope’a sadık kalma, değişiklikleri onay süreciyle yönetme.</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Entegrasyon sorunları</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API sözleşmesini erken netleştirme, erken entegrasyon testleri.</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Veri tutarlılığı</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DB kısıtları ve çakışma kontrolü, düzenli test ve yedekleme (dev).</w:t>
            </w:r>
          </w:p>
        </w:tc>
      </w:tr>
    </w:tbl>
    <w:p>
      <w:pPr>
        <w:pStyle w:val="Heading1"/>
        <w:rPr/>
      </w:pPr>
      <w:r>
        <w:rPr/>
        <w:t>Project Success Criteria</w:t>
      </w:r>
    </w:p>
    <w:p>
      <w:pPr>
        <w:pStyle w:val="ListBullet"/>
        <w:numPr>
          <w:ilvl w:val="0"/>
          <w:numId w:val="1"/>
        </w:numPr>
        <w:rPr/>
      </w:pPr>
      <w:r>
        <w:rPr/>
        <w:t>Tanımlanan en az 5 ana özelliğin tamamının çalışır şekilde uygulanması (randevu alma, iptal, takvim vb.).</w:t>
      </w:r>
    </w:p>
    <w:p>
      <w:pPr>
        <w:pStyle w:val="ListBullet"/>
        <w:numPr>
          <w:ilvl w:val="0"/>
          <w:numId w:val="1"/>
        </w:numPr>
        <w:rPr/>
      </w:pPr>
      <w:r>
        <w:rPr/>
        <w:t>Randevu çakışmalarını engelleyen doğrulama mekanizmasının testlerle doğrulanması.</w:t>
      </w:r>
    </w:p>
    <w:p>
      <w:pPr>
        <w:pStyle w:val="ListBullet"/>
        <w:numPr>
          <w:ilvl w:val="0"/>
          <w:numId w:val="1"/>
        </w:numPr>
        <w:rPr/>
      </w:pPr>
      <w:r>
        <w:rPr/>
        <w:t>En 2 farklı kullanıcıyla temel akışların sorunsuz tamamlanması (kayıt/giriş, randevu alma, iptal).</w:t>
      </w:r>
    </w:p>
    <w:p>
      <w:pPr>
        <w:pStyle w:val="ListBullet"/>
        <w:numPr>
          <w:ilvl w:val="0"/>
          <w:numId w:val="0"/>
        </w:numPr>
        <w:rPr/>
      </w:pPr>
      <w:r>
        <w:rPr/>
      </w:r>
    </w:p>
    <w:p>
      <w:pPr>
        <w:pStyle w:val="Heading1"/>
        <w:rPr/>
      </w:pPr>
      <w:r>
        <w:rPr/>
        <w:t>Glossary</w:t>
      </w:r>
    </w:p>
    <w:p>
      <w:pPr>
        <w:pStyle w:val="Normal"/>
        <w:rPr/>
      </w:pPr>
      <w:r>
        <w:rPr/>
        <w:t xml:space="preserve">Projede kullanılan kısaltmalar </w:t>
      </w:r>
      <w:r>
        <w:rPr/>
        <w:t>ve terimler</w:t>
      </w:r>
      <w:r>
        <w:rPr/>
        <w:t xml:space="preserve"> için sözlük:</w:t>
      </w:r>
    </w:p>
    <w:p>
      <w:pPr>
        <w:pStyle w:val="Normal"/>
        <w:numPr>
          <w:ilvl w:val="0"/>
          <w:numId w:val="7"/>
        </w:numPr>
        <w:rPr/>
      </w:pPr>
      <w:r>
        <w:rPr/>
        <w:t>DB: Database, veritabanı</w:t>
      </w:r>
    </w:p>
    <w:p>
      <w:pPr>
        <w:pStyle w:val="Normal"/>
        <w:numPr>
          <w:ilvl w:val="0"/>
          <w:numId w:val="7"/>
        </w:numPr>
        <w:rPr/>
      </w:pPr>
      <w:r>
        <w:rPr/>
        <w:t xml:space="preserve">API: </w:t>
      </w:r>
      <w:r>
        <w:rPr>
          <w:rStyle w:val="Emphasis"/>
          <w:i w:val="false"/>
          <w:iCs w:val="false"/>
        </w:rPr>
        <w:t xml:space="preserve">Application Programming Interface, </w:t>
      </w:r>
      <w:r>
        <w:rPr>
          <w:rStyle w:val="Emphasis"/>
          <w:i w:val="false"/>
          <w:iCs w:val="false"/>
        </w:rPr>
        <w:t>f</w:t>
      </w:r>
      <w:r>
        <w:rPr>
          <w:rStyle w:val="Emphasis"/>
          <w:i w:val="false"/>
          <w:iCs w:val="false"/>
        </w:rPr>
        <w:t xml:space="preserve">arklı yazılımların, uygulamaların veya sunucuların birbiriyle güvenli ve kontrollü bir şekilde iletişim kurmasını, veri alışverişi yapmasını sağlayan bir köprü veya aracı yazılımdır. </w:t>
      </w:r>
    </w:p>
    <w:p>
      <w:pPr>
        <w:pStyle w:val="Normal"/>
        <w:numPr>
          <w:ilvl w:val="0"/>
          <w:numId w:val="7"/>
        </w:numPr>
        <w:rPr/>
      </w:pPr>
      <w:r>
        <w:rPr>
          <w:rStyle w:val="Emphasis"/>
          <w:i w:val="false"/>
          <w:iCs w:val="false"/>
        </w:rPr>
        <w:t xml:space="preserve">MVP: </w:t>
      </w:r>
      <w:r>
        <w:rPr>
          <w:rStyle w:val="Strong"/>
          <w:b w:val="false"/>
          <w:bCs w:val="false"/>
          <w:i w:val="false"/>
          <w:iCs w:val="false"/>
        </w:rPr>
        <w:t>Minimum Viable Product</w:t>
      </w:r>
      <w:r>
        <w:rPr>
          <w:rStyle w:val="Emphasis"/>
          <w:b w:val="false"/>
          <w:bCs w:val="false"/>
          <w:i w:val="false"/>
          <w:iCs w:val="false"/>
        </w:rPr>
        <w:t xml:space="preserve">, bir ürünün hedef kullanıcıya temel değer önerisini sunabilecek, öğrenme ve geri bildirim toplama amacıyla geliştirilen, </w:t>
      </w:r>
      <w:r>
        <w:rPr>
          <w:rStyle w:val="Strong"/>
          <w:b w:val="false"/>
          <w:bCs w:val="false"/>
          <w:i w:val="false"/>
          <w:iCs w:val="false"/>
        </w:rPr>
        <w:t>en az sayıda özellikle çalışan ilk sürümüdür</w:t>
      </w:r>
      <w:r>
        <w:rPr>
          <w:rStyle w:val="Emphasis"/>
          <w:b w:val="false"/>
          <w:bCs w:val="false"/>
          <w:i w:val="false"/>
          <w:iCs w:val="false"/>
        </w:rPr>
        <w:t xml:space="preserve">. </w:t>
      </w:r>
    </w:p>
    <w:p>
      <w:pPr>
        <w:pStyle w:val="Normal"/>
        <w:numPr>
          <w:ilvl w:val="0"/>
          <w:numId w:val="7"/>
        </w:numPr>
        <w:rPr/>
      </w:pPr>
      <w:r>
        <w:rPr>
          <w:rStyle w:val="Emphasis"/>
          <w:b w:val="false"/>
          <w:bCs w:val="false"/>
          <w:i w:val="false"/>
          <w:iCs w:val="false"/>
        </w:rPr>
        <w:t xml:space="preserve">IDE: </w:t>
      </w:r>
      <w:r>
        <w:rPr>
          <w:rStyle w:val="Strong"/>
          <w:b w:val="false"/>
          <w:bCs w:val="false"/>
          <w:i w:val="false"/>
          <w:iCs w:val="false"/>
        </w:rPr>
        <w:t>Integrated Development Environment</w:t>
      </w:r>
      <w:r>
        <w:rPr>
          <w:rStyle w:val="Emphasis"/>
          <w:b w:val="false"/>
          <w:bCs w:val="false"/>
          <w:i w:val="false"/>
          <w:iCs w:val="false"/>
        </w:rPr>
        <w:t xml:space="preserve">, programcının yazılım geliştirme faaliyetlerini tek platform üzerinden yürütebilmesini sağlayan bütünleşik yazılım aracıdır. </w:t>
      </w:r>
    </w:p>
    <w:p>
      <w:pPr>
        <w:pStyle w:val="Normal"/>
        <w:numPr>
          <w:ilvl w:val="0"/>
          <w:numId w:val="7"/>
        </w:numPr>
        <w:rPr/>
      </w:pPr>
      <w:r>
        <w:rPr>
          <w:rStyle w:val="Emphasis"/>
          <w:b w:val="false"/>
          <w:bCs w:val="false"/>
          <w:i w:val="false"/>
          <w:iCs w:val="false"/>
        </w:rPr>
        <w:t xml:space="preserve">SMS: Short Message Service, telekomünikasyon altyapısı üzerinden sınırlı uzunlukta metin tabanlı mesaj iletimine olanak veren standart bir mobil haberleşme servisidir. </w:t>
      </w:r>
    </w:p>
    <w:p>
      <w:pPr>
        <w:pStyle w:val="Normal"/>
        <w:numPr>
          <w:ilvl w:val="0"/>
          <w:numId w:val="7"/>
        </w:numPr>
        <w:rPr/>
      </w:pPr>
      <w:r>
        <w:rPr>
          <w:rStyle w:val="Emphasis"/>
          <w:b w:val="false"/>
          <w:bCs w:val="false"/>
          <w:i w:val="false"/>
          <w:iCs w:val="false"/>
        </w:rPr>
        <w:t>HTTP: Hypertext Transfer Protocol, istemci-sunucu mimarisi üzerinde çalışan ve web sayfaları, görseller, veri paketleri gibi kaynakların istek-cevap modeliyle aktarımını düzenleyen bir iletişim standardıdır.</w:t>
      </w:r>
    </w:p>
    <w:p>
      <w:pPr>
        <w:pStyle w:val="Normal"/>
        <w:numPr>
          <w:ilvl w:val="0"/>
          <w:numId w:val="7"/>
        </w:numPr>
        <w:rPr/>
      </w:pPr>
      <w:r>
        <w:rPr>
          <w:rStyle w:val="Emphasis"/>
          <w:b w:val="false"/>
          <w:bCs w:val="false"/>
          <w:i w:val="false"/>
          <w:iCs w:val="false"/>
        </w:rPr>
        <w:t xml:space="preserve">REST:  Representational State Transfer, dağıtık sistemlerde ölçeklenebilirlik, sadelik ve bağımsız bileşenler arası iletişim sağlamak amacıyla, kaynak temelli ve stateless ilkelere dayanan bir mimari yaklaşımdır. </w:t>
      </w:r>
    </w:p>
    <w:p>
      <w:pPr>
        <w:pStyle w:val="Normal"/>
        <w:numPr>
          <w:ilvl w:val="0"/>
          <w:numId w:val="7"/>
        </w:numPr>
        <w:rPr/>
      </w:pPr>
      <w:r>
        <w:rPr>
          <w:rStyle w:val="Emphasis"/>
          <w:b w:val="false"/>
          <w:bCs w:val="false"/>
          <w:i w:val="false"/>
          <w:iCs w:val="false"/>
        </w:rPr>
        <w:t xml:space="preserve">CRUD: Create, Read, Update, Delete; veritabanı ve yazılım sistemlerinde bir kaydın yaşam döngüsü boyunca uygulanabilen temel veri yönetim işlemlerini tanımlayan standart işlem kümesidir. </w:t>
      </w:r>
    </w:p>
    <w:p>
      <w:pPr>
        <w:pStyle w:val="Normal"/>
        <w:numPr>
          <w:ilvl w:val="0"/>
          <w:numId w:val="7"/>
        </w:numPr>
        <w:rPr/>
      </w:pPr>
      <w:r>
        <w:rPr>
          <w:rStyle w:val="Emphasis"/>
          <w:b w:val="false"/>
          <w:bCs w:val="false"/>
          <w:i w:val="false"/>
          <w:iCs w:val="false"/>
        </w:rPr>
        <w:t xml:space="preserve">JSON: JavaScript Object Notation, anahtar-değer çiftleri ve diziler üzerinden veri gösterimini sağlayan, platformdan bağımsız, metin tabanlı bir veri temsil standardıdır. </w:t>
      </w:r>
    </w:p>
    <w:p>
      <w:pPr>
        <w:pStyle w:val="Normal"/>
        <w:numPr>
          <w:ilvl w:val="0"/>
          <w:numId w:val="7"/>
        </w:numPr>
        <w:rPr/>
      </w:pPr>
      <w:r>
        <w:rPr>
          <w:rStyle w:val="Emphasis"/>
          <w:b w:val="false"/>
          <w:bCs w:val="false"/>
          <w:i w:val="false"/>
          <w:iCs w:val="false"/>
        </w:rPr>
        <w:t xml:space="preserve">JWT: JSON Web Token, taraflar arasında bilgilerin JSON tabanlı ve dijital olarak imzalanmış bir belirteç yapısı içinde güvenli biçimde aktarılmasını sağlayan açık standarttır. </w:t>
      </w:r>
    </w:p>
    <w:p>
      <w:pPr>
        <w:pStyle w:val="Normal"/>
        <w:numPr>
          <w:ilvl w:val="0"/>
          <w:numId w:val="7"/>
        </w:numPr>
        <w:rPr/>
      </w:pPr>
      <w:r>
        <w:rPr>
          <w:rStyle w:val="Emphasis"/>
          <w:b w:val="false"/>
          <w:bCs w:val="false"/>
          <w:i w:val="false"/>
          <w:iCs w:val="false"/>
        </w:rPr>
        <w:t xml:space="preserve">JPA: Java Persistence API, Java uygulamalarında nesneler ile ilişkisel veritabanı tabloları arasındaki eşlemenin yapılmasını ve kalıcı verilerin yönetilmesini sağlayan bir Java standardıdır. </w:t>
      </w:r>
    </w:p>
    <w:p>
      <w:pPr>
        <w:pStyle w:val="Normal"/>
        <w:numPr>
          <w:ilvl w:val="0"/>
          <w:numId w:val="7"/>
        </w:numPr>
        <w:rPr/>
      </w:pPr>
      <w:r>
        <w:rPr>
          <w:rStyle w:val="Emphasis"/>
          <w:b w:val="false"/>
          <w:bCs w:val="false"/>
          <w:i w:val="false"/>
          <w:iCs w:val="false"/>
        </w:rPr>
        <w:t xml:space="preserve">Bcrypt:  Parolaları doğrudan saklamak yerine tek yönlü ve güvenli biçimde hashleyerek korumak için kullanılan bir şifreleme değil, parola hashleme algoritmasıdır. </w:t>
      </w:r>
    </w:p>
    <w:p>
      <w:pPr>
        <w:pStyle w:val="Normal"/>
        <w:numPr>
          <w:ilvl w:val="0"/>
          <w:numId w:val="7"/>
        </w:numPr>
        <w:rPr/>
      </w:pPr>
      <w:r>
        <w:rPr>
          <w:rStyle w:val="Emphasis"/>
          <w:b w:val="false"/>
          <w:bCs w:val="false"/>
          <w:i w:val="false"/>
          <w:iCs w:val="false"/>
        </w:rPr>
        <w:t>UI: User Interface, kullanıcının gördüğü ve etkileşime geçtiği görsel/yapısal arayüz bileşenlerini ifade eder.</w:t>
      </w:r>
    </w:p>
    <w:p>
      <w:pPr>
        <w:pStyle w:val="Normal"/>
        <w:numPr>
          <w:ilvl w:val="0"/>
          <w:numId w:val="7"/>
        </w:numPr>
        <w:rPr/>
      </w:pPr>
      <w:r>
        <w:rPr>
          <w:rStyle w:val="Emphasis"/>
          <w:b w:val="false"/>
          <w:bCs w:val="false"/>
          <w:i w:val="false"/>
          <w:iCs w:val="false"/>
        </w:rPr>
        <w:t xml:space="preserve">UX: User Experience, kullanıcının bir sistemi kullanırken yaşadığı genel deneyimi, yani kolaylık, verimlilik, anlaşılabilirlik ve memnuniyet düzeyini ifade eder. </w:t>
      </w:r>
    </w:p>
    <w:p>
      <w:pPr>
        <w:pStyle w:val="Normal"/>
        <w:numPr>
          <w:ilvl w:val="0"/>
          <w:numId w:val="7"/>
        </w:numPr>
        <w:rPr/>
      </w:pPr>
      <w:r>
        <w:rPr>
          <w:rStyle w:val="Emphasis"/>
          <w:b w:val="false"/>
          <w:bCs w:val="false"/>
          <w:i w:val="false"/>
          <w:iCs w:val="false"/>
        </w:rPr>
        <w:t xml:space="preserve">QA: Quality Assurance, hata oluşumunu en aza indirmek ve ürün kalitesini güvence altına almak amacıyla, süreçlerin izlenmesi, denetlenmesi ve iyileştirilmesine odaklanan kalite yönetim yaklaşımıdır. </w:t>
      </w:r>
    </w:p>
    <w:p>
      <w:pPr>
        <w:pStyle w:val="Normal"/>
        <w:numPr>
          <w:ilvl w:val="0"/>
          <w:numId w:val="7"/>
        </w:numPr>
        <w:rPr/>
      </w:pPr>
      <w:r>
        <w:rPr/>
        <w:t xml:space="preserve">PR: </w:t>
      </w:r>
      <w:r>
        <w:rPr>
          <w:rStyle w:val="Strong"/>
          <w:b w:val="false"/>
          <w:bCs w:val="false"/>
        </w:rPr>
        <w:t xml:space="preserve">Pull Request, sürüm kontrol sistemlerinde bir dalda yapılan değişikliklerin başka bir dala birleştirilmesinden önce kod inceleme, geri bildirim ve onay sürecini yürüten iş birliği mekanizmasıdır. </w:t>
      </w:r>
    </w:p>
    <w:p>
      <w:pPr>
        <w:pStyle w:val="Normal"/>
        <w:numPr>
          <w:ilvl w:val="0"/>
          <w:numId w:val="7"/>
        </w:numPr>
        <w:rPr/>
      </w:pPr>
      <w:r>
        <w:rPr>
          <w:rStyle w:val="Strong"/>
          <w:b w:val="false"/>
          <w:bCs w:val="false"/>
        </w:rPr>
        <w:t xml:space="preserve">PA: Product Assurance, geliştirilen ürünün belirlenen gereksinimlere, kalite hedeflerine ve mimari beklentilere uygun olup olmadığını değerlendiren güvence ve inceleme yaklaşımıdır. </w:t>
      </w:r>
    </w:p>
    <w:p>
      <w:pPr>
        <w:pStyle w:val="Normal"/>
        <w:numPr>
          <w:ilvl w:val="0"/>
          <w:numId w:val="7"/>
        </w:numPr>
        <w:rPr/>
      </w:pPr>
      <w:r>
        <w:rPr>
          <w:rStyle w:val="Strong"/>
          <w:b w:val="false"/>
          <w:bCs w:val="false"/>
        </w:rPr>
        <w:t xml:space="preserve">RBAC: Role-Based Access Control, sistem kaynaklarına erişim izinlerinin rol kavramı üzerinden tanımlandığı, kullanıcıların bu rollere atanarak yetkilendirildiği bir erişim denetim modelidir. </w:t>
      </w:r>
    </w:p>
    <w:p>
      <w:pPr>
        <w:pStyle w:val="Normal"/>
        <w:numPr>
          <w:ilvl w:val="0"/>
          <w:numId w:val="7"/>
        </w:numPr>
        <w:rPr/>
      </w:pPr>
      <w:r>
        <w:rPr>
          <w:rStyle w:val="Strong"/>
          <w:b w:val="false"/>
          <w:bCs w:val="false"/>
        </w:rPr>
        <w:t xml:space="preserve">Method Chaining: Bir nesne üzerinde çağrılan metodun yine nesnenin kendisini veya zincire devam etmeyi sağlayan uygun bir nesneyi döndürmesiyle, birden fazla metodun art arda tek ifade içinde çağrılabilmesi yaklaşımıdır. </w:t>
      </w:r>
    </w:p>
    <w:p>
      <w:pPr>
        <w:pStyle w:val="Normal"/>
        <w:numPr>
          <w:ilvl w:val="0"/>
          <w:numId w:val="7"/>
        </w:numPr>
        <w:rPr/>
      </w:pPr>
      <w:r>
        <w:rPr>
          <w:rStyle w:val="Strong"/>
          <w:b w:val="false"/>
          <w:bCs w:val="false"/>
        </w:rPr>
        <w:t>DTO: Data Transfer Object, iş mantığı taşımadan, yalnızca gerekli alanları içerecek şekilde veri iletimini sağlamak amacıyla tasarlanan nesne yapısıdır.</w:t>
      </w:r>
    </w:p>
    <w:p>
      <w:pPr>
        <w:pStyle w:val="Normal"/>
        <w:numPr>
          <w:ilvl w:val="0"/>
          <w:numId w:val="7"/>
        </w:numPr>
        <w:rPr/>
      </w:pPr>
      <w:r>
        <w:rPr>
          <w:rStyle w:val="Strong"/>
          <w:b w:val="false"/>
          <w:bCs w:val="false"/>
        </w:rPr>
        <w:t xml:space="preserve">IoC: </w:t>
      </w:r>
      <w:r>
        <w:rPr>
          <w:rStyle w:val="Strong"/>
          <w:b w:val="false"/>
          <w:bCs w:val="false"/>
        </w:rPr>
        <w:t>Inversion of Control</w:t>
      </w:r>
      <w:r>
        <w:rPr>
          <w:rStyle w:val="Strong"/>
          <w:b w:val="false"/>
          <w:bCs w:val="false"/>
        </w:rPr>
        <w:t xml:space="preserve">, bir yazılım sisteminde nesnelerin oluşturulması, bağımlılıklarının yönetilmesi ve uygulama akışının kontrolünün programcıdan alınarak framework veya container tarafından yürütülmesi ilkesidir. </w:t>
      </w:r>
    </w:p>
    <w:p>
      <w:pPr>
        <w:pStyle w:val="Heading1"/>
        <w:rPr/>
      </w:pPr>
      <w:r>
        <w:rPr>
          <w:rStyle w:val="Strong"/>
          <w:b/>
          <w:bCs/>
        </w:rPr>
        <w:t>References</w:t>
      </w:r>
    </w:p>
    <w:p>
      <w:pPr>
        <w:pStyle w:val="BodyText"/>
        <w:rPr/>
      </w:pPr>
      <w:hyperlink r:id="rId2">
        <w:r>
          <w:rPr>
            <w:rStyle w:val="Strong"/>
          </w:rPr>
          <w:t>1. Yazılım Mühendisliği Dokümantasyon Standartları İçin:</w:t>
        </w:r>
      </w:hyperlink>
    </w:p>
    <w:p>
      <w:pPr>
        <w:pStyle w:val="BodyText"/>
        <w:numPr>
          <w:ilvl w:val="0"/>
          <w:numId w:val="8"/>
        </w:numPr>
        <w:tabs>
          <w:tab w:val="clear" w:pos="720"/>
          <w:tab w:val="left" w:pos="0" w:leader="none"/>
        </w:tabs>
        <w:spacing w:before="0" w:after="0"/>
        <w:ind w:hanging="283" w:start="709" w:end="0"/>
        <w:rPr/>
      </w:pPr>
      <w:r>
        <w:rPr/>
        <w:t>IEEE SA. (2018). </w:t>
      </w:r>
      <w:r>
        <w:rPr>
          <w:rStyle w:val="Emphasis"/>
        </w:rPr>
        <w:t>ISO/IEC/IEEE International Standard - Systems and software engineering -- Life cycle processes -- Requirements engineering</w:t>
      </w:r>
      <w:r>
        <w:rPr/>
        <w:t>. (IEEE Std 29148-2018). </w:t>
      </w:r>
      <w:hyperlink r:id="rId3">
        <w:r>
          <w:rPr>
            <w:rStyle w:val="Hyperlink"/>
          </w:rPr>
          <w:t>https://standards.ieee.org</w:t>
        </w:r>
      </w:hyperlink>
    </w:p>
    <w:p>
      <w:pPr>
        <w:pStyle w:val="BodyText"/>
        <w:numPr>
          <w:ilvl w:val="0"/>
          <w:numId w:val="8"/>
        </w:numPr>
        <w:tabs>
          <w:tab w:val="clear" w:pos="720"/>
          <w:tab w:val="left" w:pos="0" w:leader="none"/>
        </w:tabs>
        <w:spacing w:before="0" w:after="0"/>
        <w:ind w:hanging="283" w:start="709" w:end="0"/>
        <w:rPr/>
      </w:pPr>
      <w:r>
        <w:rPr/>
        <w:t>IEEE SA. (2017). </w:t>
      </w:r>
      <w:r>
        <w:rPr>
          <w:rStyle w:val="Emphasis"/>
        </w:rPr>
        <w:t>ISO/IEC/IEEE International Standard - Systems and software engineering -- Software life cycle processes</w:t>
      </w:r>
      <w:r>
        <w:rPr/>
        <w:t>. (IEEE Std 12207-2017). </w:t>
      </w:r>
      <w:hyperlink r:id="rId4">
        <w:r>
          <w:rPr>
            <w:rStyle w:val="Hyperlink"/>
          </w:rPr>
          <w:t>https://standards.ieee.org</w:t>
        </w:r>
      </w:hyperlink>
    </w:p>
    <w:p>
      <w:pPr>
        <w:pStyle w:val="BodyText"/>
        <w:numPr>
          <w:ilvl w:val="0"/>
          <w:numId w:val="8"/>
        </w:numPr>
        <w:tabs>
          <w:tab w:val="clear" w:pos="720"/>
          <w:tab w:val="left" w:pos="0" w:leader="none"/>
        </w:tabs>
        <w:ind w:hanging="283" w:start="709" w:end="0"/>
        <w:rPr/>
      </w:pPr>
      <w:r>
        <w:rPr/>
        <w:t>IEEE SA. (2012). </w:t>
      </w:r>
      <w:r>
        <w:rPr>
          <w:rStyle w:val="Emphasis"/>
        </w:rPr>
        <w:t>IEEE Standard for System and Software Verification and Validation</w:t>
      </w:r>
      <w:r>
        <w:rPr/>
        <w:t>. (IEEE Std 1012-2012). </w:t>
      </w:r>
      <w:hyperlink r:id="rId5">
        <w:r>
          <w:rPr>
            <w:rStyle w:val="Hyperlink"/>
          </w:rPr>
          <w:t>https://standards.ieee.org</w:t>
        </w:r>
      </w:hyperlink>
    </w:p>
    <w:p>
      <w:pPr>
        <w:pStyle w:val="BodyText"/>
        <w:rPr/>
      </w:pPr>
      <w:r>
        <w:rPr>
          <w:rStyle w:val="Strong"/>
        </w:rPr>
        <w:t>2. Backend ve Veritabanı Teknolojileri İçin (Java, Spring Boot, PostgreSQL):</w:t>
      </w:r>
    </w:p>
    <w:p>
      <w:pPr>
        <w:pStyle w:val="BodyText"/>
        <w:numPr>
          <w:ilvl w:val="0"/>
          <w:numId w:val="9"/>
        </w:numPr>
        <w:tabs>
          <w:tab w:val="clear" w:pos="720"/>
          <w:tab w:val="left" w:pos="0" w:leader="none"/>
        </w:tabs>
        <w:spacing w:before="0" w:after="0"/>
        <w:ind w:hanging="283" w:start="709" w:end="0"/>
        <w:rPr/>
      </w:pPr>
      <w:r>
        <w:rPr/>
        <w:t>Spring. (2024). </w:t>
      </w:r>
      <w:r>
        <w:rPr>
          <w:rStyle w:val="Emphasis"/>
        </w:rPr>
        <w:t>Spring Boot Reference Documentation</w:t>
      </w:r>
      <w:r>
        <w:rPr/>
        <w:t>. Spring.io. </w:t>
      </w:r>
      <w:hyperlink r:id="rId6">
        <w:r>
          <w:rPr>
            <w:rStyle w:val="Hyperlink"/>
          </w:rPr>
          <w:t>https://docs.spring.io/spring-boot/docs/current/reference/html/</w:t>
        </w:r>
      </w:hyperlink>
    </w:p>
    <w:p>
      <w:pPr>
        <w:pStyle w:val="BodyText"/>
        <w:numPr>
          <w:ilvl w:val="0"/>
          <w:numId w:val="9"/>
        </w:numPr>
        <w:tabs>
          <w:tab w:val="clear" w:pos="720"/>
          <w:tab w:val="left" w:pos="0" w:leader="none"/>
        </w:tabs>
        <w:spacing w:before="0" w:after="0"/>
        <w:ind w:hanging="283" w:start="709" w:end="0"/>
        <w:rPr/>
      </w:pPr>
      <w:r>
        <w:rPr/>
        <w:t>Oracle. (2023). </w:t>
      </w:r>
      <w:r>
        <w:rPr>
          <w:rStyle w:val="Emphasis"/>
        </w:rPr>
        <w:t>Java Platform, Standard Edition (Java SE) 17 Documentation</w:t>
      </w:r>
      <w:r>
        <w:rPr/>
        <w:t>. Oracle. </w:t>
      </w:r>
      <w:hyperlink r:id="rId7">
        <w:r>
          <w:rPr>
            <w:rStyle w:val="Hyperlink"/>
          </w:rPr>
          <w:t>https://docs.oracle.com/en/java/javase/17/</w:t>
        </w:r>
      </w:hyperlink>
    </w:p>
    <w:p>
      <w:pPr>
        <w:pStyle w:val="BodyText"/>
        <w:numPr>
          <w:ilvl w:val="0"/>
          <w:numId w:val="9"/>
        </w:numPr>
        <w:tabs>
          <w:tab w:val="clear" w:pos="720"/>
          <w:tab w:val="left" w:pos="0" w:leader="none"/>
        </w:tabs>
        <w:ind w:hanging="283" w:start="709" w:end="0"/>
        <w:rPr/>
      </w:pPr>
      <w:r>
        <w:rPr/>
        <w:t>The PostgreSQL Global Development Group. (2024). </w:t>
      </w:r>
      <w:r>
        <w:rPr>
          <w:rStyle w:val="Emphasis"/>
        </w:rPr>
        <w:t>PostgreSQL Documentation</w:t>
      </w:r>
      <w:r>
        <w:rPr/>
        <w:t>. PostgreSQL.org. </w:t>
      </w:r>
      <w:hyperlink r:id="rId8">
        <w:r>
          <w:rPr>
            <w:rStyle w:val="Hyperlink"/>
          </w:rPr>
          <w:t>https://www.postgresql.org/docs/</w:t>
        </w:r>
      </w:hyperlink>
    </w:p>
    <w:p>
      <w:pPr>
        <w:pStyle w:val="BodyText"/>
        <w:rPr>
          <w:rStyle w:val="Strong"/>
          <w:b w:val="false"/>
          <w:bCs w:val="false"/>
        </w:rPr>
      </w:pPr>
      <w:r>
        <w:rPr/>
      </w:r>
    </w:p>
    <w:p>
      <w:pPr>
        <w:pStyle w:val="BodyText"/>
        <w:rPr/>
      </w:pPr>
      <w:r>
        <w:rPr>
          <w:rStyle w:val="Strong"/>
        </w:rPr>
        <w:t>3. Frontend (Arayüz) Teknolojileri İçin (React):</w:t>
      </w:r>
    </w:p>
    <w:p>
      <w:pPr>
        <w:pStyle w:val="BodyText"/>
        <w:numPr>
          <w:ilvl w:val="0"/>
          <w:numId w:val="10"/>
        </w:numPr>
        <w:tabs>
          <w:tab w:val="clear" w:pos="720"/>
          <w:tab w:val="left" w:pos="0" w:leader="none"/>
        </w:tabs>
        <w:ind w:hanging="283" w:start="709" w:end="0"/>
        <w:rPr/>
      </w:pPr>
      <w:r>
        <w:rPr/>
        <w:t>Meta Platforms, Inc. (2024). </w:t>
      </w:r>
      <w:r>
        <w:rPr>
          <w:rStyle w:val="Emphasis"/>
        </w:rPr>
        <w:t>React: The library for web and native user interfaces</w:t>
      </w:r>
      <w:r>
        <w:rPr/>
        <w:t>. React.dev. </w:t>
      </w:r>
      <w:hyperlink r:id="rId9">
        <w:r>
          <w:rPr>
            <w:rStyle w:val="Hyperlink"/>
          </w:rPr>
          <w:t>https://react.dev/reference/react</w:t>
        </w:r>
      </w:hyperlink>
    </w:p>
    <w:p>
      <w:pPr>
        <w:pStyle w:val="Normal"/>
        <w:rPr>
          <w:rStyle w:val="Strong"/>
        </w:rPr>
      </w:pPr>
      <w:r>
        <w:rPr/>
      </w:r>
    </w:p>
    <w:p>
      <w:pPr>
        <w:pStyle w:val="BodyText"/>
        <w:rPr/>
      </w:pPr>
      <w:r>
        <w:rPr>
          <w:rStyle w:val="Strong"/>
        </w:rPr>
        <w:t>4. Güvenlik ve Kimlik Doğrulama (JWT &amp; Security) İçin:</w:t>
      </w:r>
    </w:p>
    <w:p>
      <w:pPr>
        <w:pStyle w:val="BodyText"/>
        <w:numPr>
          <w:ilvl w:val="0"/>
          <w:numId w:val="11"/>
        </w:numPr>
        <w:tabs>
          <w:tab w:val="clear" w:pos="720"/>
          <w:tab w:val="left" w:pos="0" w:leader="none"/>
        </w:tabs>
        <w:spacing w:before="0" w:after="0"/>
        <w:ind w:hanging="283" w:start="709" w:end="0"/>
        <w:rPr/>
      </w:pPr>
      <w:r>
        <w:rPr/>
        <w:t>Jones, M., Bradley, J., &amp; Sakimura, N. (2015). </w:t>
      </w:r>
      <w:r>
        <w:rPr>
          <w:rStyle w:val="Emphasis"/>
        </w:rPr>
        <w:t>JSON Web Token (JWT)</w:t>
      </w:r>
      <w:r>
        <w:rPr/>
        <w:t>. (RFC 7519). Internet Engineering Task Force (IETF). </w:t>
      </w:r>
      <w:hyperlink r:id="rId10">
        <w:r>
          <w:rPr>
            <w:rStyle w:val="Hyperlink"/>
          </w:rPr>
          <w:t>https://datatracker.ietf.org/doc/html/rfc7519</w:t>
        </w:r>
      </w:hyperlink>
    </w:p>
    <w:p>
      <w:pPr>
        <w:pStyle w:val="BodyText"/>
        <w:numPr>
          <w:ilvl w:val="0"/>
          <w:numId w:val="11"/>
        </w:numPr>
        <w:tabs>
          <w:tab w:val="clear" w:pos="720"/>
          <w:tab w:val="left" w:pos="0" w:leader="none"/>
        </w:tabs>
        <w:ind w:hanging="283" w:start="709" w:end="0"/>
        <w:rPr/>
      </w:pPr>
      <w:r>
        <w:rPr/>
        <w:t>Spring. (2024). </w:t>
      </w:r>
      <w:r>
        <w:rPr>
          <w:rStyle w:val="Emphasis"/>
        </w:rPr>
        <w:t>Spring Security Reference</w:t>
      </w:r>
      <w:r>
        <w:rPr/>
        <w:t>. Spring.io. </w:t>
      </w:r>
      <w:hyperlink r:id="rId11">
        <w:r>
          <w:rPr>
            <w:rStyle w:val="Hyperlink"/>
          </w:rPr>
          <w:t>https://docs.spring.io/spring-security/reference/index.html</w:t>
        </w:r>
      </w:hyperlink>
    </w:p>
    <w:p>
      <w:pPr>
        <w:pStyle w:val="Normal"/>
        <w:rPr>
          <w:rStyle w:val="Strong"/>
        </w:rPr>
      </w:pPr>
      <w:r>
        <w:rPr/>
      </w:r>
    </w:p>
    <w:p>
      <w:pPr>
        <w:pStyle w:val="Heading2"/>
        <w:rPr/>
      </w:pPr>
      <w:r>
        <w:rPr/>
        <w:t>Document-Specific Task Matrix</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560"/>
        <w:gridCol w:w="1559"/>
        <w:gridCol w:w="1561"/>
        <w:gridCol w:w="1560"/>
        <w:gridCol w:w="1559"/>
        <w:gridCol w:w="1561"/>
      </w:tblGrid>
      <w:tr>
        <w:trPr>
          <w:trHeight w:val="300" w:hRule="atLeast"/>
        </w:trPr>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0"/>
                <w:szCs w:val="22"/>
                <w:lang w:val="en-US" w:eastAsia="en-US" w:bidi="ar-SA"/>
              </w:rPr>
              <w:t>Task</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bCs/>
                <w:kern w:val="0"/>
                <w:sz w:val="20"/>
                <w:szCs w:val="20"/>
                <w:lang w:val="en-US" w:eastAsia="en-US" w:bidi="ar-SA"/>
              </w:rPr>
              <w:t>Description</w:t>
            </w:r>
          </w:p>
        </w:tc>
        <w:tc>
          <w:tcPr>
            <w:tcW w:w="1561" w:type="dxa"/>
            <w:tcBorders/>
          </w:tcPr>
          <w:p>
            <w:pPr>
              <w:pStyle w:val="Normal"/>
              <w:widowControl/>
              <w:suppressLineNumbers w:val="0"/>
              <w:suppressAutoHyphens w:val="true"/>
              <w:bidi w:val="0"/>
              <w:spacing w:lineRule="auto" w:line="240" w:beforeAutospacing="0" w:before="0" w:afterAutospacing="0" w:after="0"/>
              <w:ind w:start="0" w:end="0"/>
              <w:jc w:val="center"/>
              <w:rPr>
                <w:rFonts w:eastAsia="ＭＳ 明朝" w:cs=""/>
                <w:kern w:val="0"/>
                <w:szCs w:val="22"/>
                <w:lang w:val="en-US" w:eastAsia="en-US" w:bidi="ar-SA"/>
              </w:rPr>
            </w:pPr>
            <w:r>
              <w:rPr>
                <w:rFonts w:eastAsia="ＭＳ 明朝" w:cs=""/>
                <w:b/>
                <w:bCs/>
                <w:kern w:val="0"/>
                <w:sz w:val="20"/>
                <w:szCs w:val="20"/>
                <w:lang w:val="en-US" w:eastAsia="en-US" w:bidi="ar-SA"/>
              </w:rPr>
              <w:t>Onur Üstün</w:t>
            </w:r>
          </w:p>
        </w:tc>
        <w:tc>
          <w:tcPr>
            <w:tcW w:w="1560" w:type="dxa"/>
            <w:tcBorders/>
          </w:tcPr>
          <w:p>
            <w:pPr>
              <w:pStyle w:val="Normal"/>
              <w:widowControl/>
              <w:suppressLineNumbers w:val="0"/>
              <w:suppressAutoHyphens w:val="true"/>
              <w:bidi w:val="0"/>
              <w:spacing w:lineRule="auto" w:line="240" w:beforeAutospacing="0" w:before="0" w:afterAutospacing="0" w:after="0"/>
              <w:ind w:start="0" w:end="0"/>
              <w:jc w:val="center"/>
              <w:rPr>
                <w:b/>
                <w:bCs/>
                <w:sz w:val="20"/>
                <w:szCs w:val="20"/>
              </w:rPr>
            </w:pPr>
            <w:r>
              <w:rPr>
                <w:rFonts w:eastAsia="ＭＳ 明朝" w:cs=""/>
                <w:b/>
                <w:bCs/>
                <w:kern w:val="0"/>
                <w:sz w:val="20"/>
                <w:szCs w:val="20"/>
                <w:lang w:val="en-US" w:eastAsia="en-US" w:bidi="ar-SA"/>
              </w:rPr>
              <w:t>Hakan Beşikçi</w:t>
            </w:r>
          </w:p>
        </w:tc>
        <w:tc>
          <w:tcPr>
            <w:tcW w:w="1559" w:type="dxa"/>
            <w:tcBorders/>
          </w:tcPr>
          <w:p>
            <w:pPr>
              <w:pStyle w:val="Normal"/>
              <w:widowControl/>
              <w:suppressLineNumbers w:val="0"/>
              <w:suppressAutoHyphens w:val="true"/>
              <w:bidi w:val="0"/>
              <w:spacing w:lineRule="auto" w:line="240" w:beforeAutospacing="0" w:before="0" w:afterAutospacing="0" w:after="0"/>
              <w:ind w:start="0" w:end="0"/>
              <w:jc w:val="center"/>
              <w:rPr>
                <w:rFonts w:eastAsia="ＭＳ 明朝" w:cs=""/>
                <w:kern w:val="0"/>
                <w:szCs w:val="22"/>
                <w:lang w:val="en-US" w:eastAsia="en-US" w:bidi="ar-SA"/>
              </w:rPr>
            </w:pPr>
            <w:r>
              <w:rPr>
                <w:rFonts w:eastAsia="ＭＳ 明朝" w:cs=""/>
                <w:b/>
                <w:bCs/>
                <w:kern w:val="0"/>
                <w:sz w:val="20"/>
                <w:szCs w:val="20"/>
                <w:lang w:val="en-US" w:eastAsia="en-US" w:bidi="ar-SA"/>
              </w:rPr>
              <w:t>Mehmet Efe Saraç</w:t>
            </w:r>
          </w:p>
        </w:tc>
        <w:tc>
          <w:tcPr>
            <w:tcW w:w="1561" w:type="dxa"/>
            <w:tcBorders/>
          </w:tcPr>
          <w:p>
            <w:pPr>
              <w:pStyle w:val="Normal"/>
              <w:widowControl/>
              <w:suppressAutoHyphens w:val="true"/>
              <w:spacing w:lineRule="auto" w:line="240" w:before="0" w:after="0"/>
              <w:jc w:val="center"/>
              <w:rPr>
                <w:b/>
                <w:bCs/>
                <w:sz w:val="20"/>
                <w:szCs w:val="20"/>
              </w:rPr>
            </w:pPr>
            <w:r>
              <w:rPr>
                <w:rFonts w:eastAsia="ＭＳ 明朝" w:cs=""/>
                <w:b/>
                <w:bCs/>
                <w:kern w:val="0"/>
                <w:sz w:val="20"/>
                <w:szCs w:val="20"/>
                <w:lang w:val="en-US" w:eastAsia="en-US" w:bidi="ar-SA"/>
              </w:rPr>
              <w:t>Sahra Yağmur Berk</w:t>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D-1</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PA1 yönergesi + başlıklar</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D-2</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Summary/Objectives/Scope</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61"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D-3</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Risks/Deliverables/Success</w:t>
            </w:r>
          </w:p>
        </w:tc>
        <w:tc>
          <w:tcPr>
            <w:tcW w:w="1561"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1" w:type="dxa"/>
            <w:tcBorders/>
          </w:tcPr>
          <w:p>
            <w:pPr>
              <w:pStyle w:val="Normal"/>
              <w:widowControl/>
              <w:suppressAutoHyphens w:val="true"/>
              <w:spacing w:lineRule="auto" w:line="240" w:before="0" w:after="0"/>
              <w:jc w:val="center"/>
              <w:rPr>
                <w:sz w:val="20"/>
                <w:szCs w:val="20"/>
              </w:rPr>
            </w:pPr>
            <w:r>
              <w:rPr>
                <w:sz w:val="20"/>
                <w:szCs w:val="20"/>
              </w:rPr>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D-4</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Format + son kontrol</w:t>
            </w:r>
          </w:p>
        </w:tc>
        <w:tc>
          <w:tcPr>
            <w:tcW w:w="1561" w:type="dxa"/>
            <w:tcBorders/>
          </w:tcPr>
          <w:p>
            <w:pPr>
              <w:pStyle w:val="Normal"/>
              <w:widowControl/>
              <w:suppressAutoHyphens w:val="true"/>
              <w:spacing w:lineRule="auto" w:line="240" w:before="0" w:after="0"/>
              <w:jc w:val="center"/>
              <w:rPr>
                <w:sz w:val="20"/>
                <w:szCs w:val="20"/>
              </w:rPr>
            </w:pPr>
            <w:r>
              <w:rPr>
                <w:sz w:val="20"/>
                <w:szCs w:val="20"/>
              </w:rPr>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c>
          <w:tcPr>
            <w:tcW w:w="1561"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aralamaSembolleri">
    <w:name w:val="Numaralama Sembolleri"/>
    <w:qFormat/>
    <w:rPr/>
  </w:style>
  <w:style w:type="character" w:styleId="Maddeimleri">
    <w:name w:val="Madde imleri"/>
    <w:qFormat/>
    <w:rPr>
      <w:rFonts w:ascii="OpenSymbol" w:hAnsi="OpenSymbol" w:eastAsia="OpenSymbol" w:cs="OpenSymbol"/>
    </w:rPr>
  </w:style>
  <w:style w:type="character" w:styleId="Hyperlink">
    <w:name w:val="Hyperlink"/>
    <w:rPr>
      <w:color w:val="000080"/>
      <w:u w:val="single"/>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user"/>
    <w:pPr/>
    <w:rPr/>
  </w:style>
  <w:style w:type="paragraph" w:styleId="TOCHeading">
    <w:name w:val="TOC Heading"/>
    <w:basedOn w:val="Heading1"/>
    <w:next w:val="Normal"/>
    <w:uiPriority w:val="39"/>
    <w:semiHidden/>
    <w:unhideWhenUsed/>
    <w:qFormat/>
    <w:rsid w:val="00fc693f"/>
    <w:pPr>
      <w:outlineLvl w:val="9"/>
    </w:pPr>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pring.io/projects/spring-framework" TargetMode="External"/><Relationship Id="rId3" Type="http://schemas.openxmlformats.org/officeDocument/2006/relationships/hyperlink" Target="https://standards.ieee.org/" TargetMode="External"/><Relationship Id="rId4" Type="http://schemas.openxmlformats.org/officeDocument/2006/relationships/hyperlink" Target="https://standards.ieee.org/" TargetMode="External"/><Relationship Id="rId5" Type="http://schemas.openxmlformats.org/officeDocument/2006/relationships/hyperlink" Target="https://standards.ieee.org/" TargetMode="External"/><Relationship Id="rId6" Type="http://schemas.openxmlformats.org/officeDocument/2006/relationships/hyperlink" Target="https://docs.spring.io/spring-boot/docs/current/reference/html/" TargetMode="External"/><Relationship Id="rId7" Type="http://schemas.openxmlformats.org/officeDocument/2006/relationships/hyperlink" Target="https://docs.oracle.com/en/java/javase/17/" TargetMode="External"/><Relationship Id="rId8" Type="http://schemas.openxmlformats.org/officeDocument/2006/relationships/hyperlink" Target="https://www.postgresql.org/docs/" TargetMode="External"/><Relationship Id="rId9" Type="http://schemas.openxmlformats.org/officeDocument/2006/relationships/hyperlink" Target="https://react.dev/reference/react" TargetMode="External"/><Relationship Id="rId10" Type="http://schemas.openxmlformats.org/officeDocument/2006/relationships/hyperlink" Target="https://datatracker.ietf.org/doc/html/rfc7519" TargetMode="External"/><Relationship Id="rId11" Type="http://schemas.openxmlformats.org/officeDocument/2006/relationships/hyperlink" Target="https://docs.spring.io/spring-security/reference/index.html"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LibreOffice/25.8.6.2$Windows_X86_64 LibreOffice_project/b4b39682cd9868fa725bc664aff94278d315bd04</Application>
  <AppVersion>15.0000</AppVersion>
  <Pages>8</Pages>
  <Words>1431</Words>
  <Characters>10112</Characters>
  <CharactersWithSpaces>11346</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2026-04-14T14:23:17Z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