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Doğal Komşuluğa Dayalı TPOD Algoritmasının Finansal Dolandırıcılık Tespitinde Değerlendirilmesi</w:t>
      </w:r>
    </w:p>
    <w:p>
      <w:pPr>
        <w:jc w:val="center"/>
      </w:pPr>
      <w:r>
        <w:t>Hakan Kavurga</w:t>
      </w:r>
    </w:p>
    <w:p>
      <w:pPr>
        <w:jc w:val="center"/>
      </w:pPr>
      <w:r>
        <w:rPr>
          <w:b/>
        </w:rPr>
        <w:t>ÖZET</w:t>
      </w:r>
    </w:p>
    <w:p>
      <w:pPr>
        <w:spacing w:after="120" w:line="276" w:lineRule="auto"/>
        <w:jc w:val="both"/>
      </w:pPr>
      <w:r>
        <w:t>Bu çalışmada, Zhang ve Yang (2023) tarafından Axioms dergisinde yayımlanan "Doğal Komşuluğa Dayalı Yoğunluk-Mesafe Aykırı Değer Tespit Algoritması" (TPOD) makaledeki sözde koddan Python ile yeniden gerçeklenmiş ve finansal dolandırıcılık tespiti alanında dört farklı veri seti üzerinde sınanmıştır.</w:t>
      </w:r>
    </w:p>
    <w:p>
      <w:pPr>
        <w:spacing w:after="120" w:line="276" w:lineRule="auto"/>
        <w:jc w:val="both"/>
      </w:pPr>
      <w:r>
        <w:t>TPOD, doğal komşuluk arama yöntemiyle k parametresine ihtiyaç duymadan her veri setinin komşuluk yapısını (λ) otomatik olarak belirler. Ardından adaptif kernel genişliği ile yerel yoğunluk (ρ) ve doğal komşulara göre göreli mesafe (RD) hesaplanarak iki parametreli bir aykırılık skoru üretilir.</w:t>
      </w:r>
    </w:p>
    <w:p>
      <w:pPr>
        <w:spacing w:after="120" w:line="276" w:lineRule="auto"/>
        <w:jc w:val="both"/>
      </w:pPr>
      <w:r>
        <w:t>Deneylerde dört veri seti kullanılmıştır: (1) ULB Credit Card Fraud — PCA ile anonimleştirilmiş Avrupa kredi kartı işlemleri; (2) PaySim — mobil para transferi simülasyonu (yalnızca TRANSFER ve CASH_OUT işlemleri); (3) Bank Account Fraud (BAF) — NeurIPS 2022'de yayımlanan banka hesabı açılış başvuruları; (4) Sparkov — ABD'ye ait sentetik kredi kartı işlemleri. Hesaplama maliyeti nedeniyle her veri setinden 500 dolandırıcılık ve 1000 normal örnekten oluşan 1500 kayıtlık alt kümeler alınmış, η ve c parametreleri 48 kombinasyonluk ızgara araması ile F1 skorunu en üst düzeye çıkaracak şekilde seçilmiştir.</w:t>
      </w:r>
    </w:p>
    <w:p>
      <w:pPr>
        <w:spacing w:after="120" w:line="276" w:lineRule="auto"/>
        <w:jc w:val="both"/>
      </w:pPr>
      <w:r>
        <w:t>TPOD en yüksek başarıyı ULB Credit Card veri setinde göstermiştir (AUC = 0.9079, F1 = 0.7726, Precision = 0.8314). Sparkov (AUC = 0.7198, F1 = 0.5657) ve PaySim (AUC = 0.7034, F1 = 0.5193) veri setlerinde orta düzeyde bir ayrıştırma sağlanmış, BAF veri setinde ise AUC = 0.4606 ile rastgele tahminin altında kalınmıştır. Dört veri seti ortalamasında AUC 0.6979, F1 0.5895 olarak elde edilmiştir.</w:t>
      </w:r>
    </w:p>
    <w:p>
      <w:pPr>
        <w:spacing w:after="120" w:line="276" w:lineRule="auto"/>
        <w:jc w:val="both"/>
      </w:pPr>
      <w:r>
        <w:t>Algoritmanın güçlü yönleri şunlardır: (i) dolandırıcılık işlemlerinin sürekli ve yoğunluk açısından ayrışabilir özellik uzayında seyrek bölgelerde yer aldığı durumlarda (ULB) yüksek sıralama başarısı; (ii) doğal komşuluk sayesinde k parametresi gerektirmemesi ve adaptif kernel ile farklı yoğunluktaki bölgelere uyum sağlaması; (iii) AUC değerinin η eşik parametresinden tamamen bağımsız olması, yani ayrıştırma gücünün eşik seçiminden etkilenmemesi.</w:t>
      </w:r>
    </w:p>
    <w:p>
      <w:pPr>
        <w:spacing w:after="120" w:line="276" w:lineRule="auto"/>
        <w:jc w:val="both"/>
      </w:pPr>
      <w:r>
        <w:t>Zayıf yönleri ise şunlardır: (i) kategorik ağırlıklı, karma tipli verilerde (BAF) mesafe tabanlı yoğunluk kavramı anlamını yitirmekte ve dolandırıcılık kayıtları normal kayıtlarla aynı yoğun bölgelerde bulunduğunda tespit başarısızdır; (ii) F1, Precision ve Recall değerleri η seçimine çok duyarlıdır ve bazı veri setlerinde algoritma neredeyse tüm kayıtları aykırı işaretleyerek yüksek Recall'a karşın düşük Precision üretmektedir (Sparkov, BAF); (iii) O(n²) yoğunluk hesabı nedeniyle büyük veri setlerinde örnekleme zorunlu hale gelmektedir; (iv) parametre seçimi için etiketli veriye ihtiyaç duyulması, algoritmanın gözetimsiz kullanım avantajını azaltmaktadır.</w:t>
      </w:r>
    </w:p>
    <w:p>
      <w:pPr>
        <w:spacing w:after="120" w:line="276" w:lineRule="auto"/>
        <w:jc w:val="both"/>
      </w:pPr>
      <w:r>
        <w:t>Ayrıca deneylerde kullanılan yaklaşık %33'lük dolandırıcılık oranı gerçek dünyadaki oranlardan (%0.1–%1) belirgin şekilde yüksektir; bu durum çalışmanın bir kısıtı olarak değerlendirilmelidir. Sonuçlar, TPOD'un sürekli ve ayrışabilir özelliklere sahip işlem verilerinde etkili bir gözetimsiz ön eleme aracı olabileceğini, ancak kategorik ağırlıklı başvuru verilerinde tek başına yeterli olmadığını göstermektedir. Gelecek çalışmalarda η'nın otomatik belirlenmesi, gerçekçi dolandırıcılık oranlarıyla deney yapılması ve hesaplamanın vektörleştirilerek hızlandırılması hedeflenmektedir.</w:t>
      </w:r>
    </w:p>
    <w:p>
      <w:pPr>
        <w:spacing w:after="120" w:line="276" w:lineRule="auto"/>
        <w:jc w:val="both"/>
      </w:pPr>
      <w:r>
        <w:rPr>
          <w:b/>
        </w:rPr>
        <w:t xml:space="preserve">Anahtar Kelimeler: </w:t>
      </w:r>
      <w:r>
        <w:t>Aykırı değer tespiti, dolandırıcılık tespiti, doğal komşuluk, yoğunluk tabanlı algoritmalar, TPOD, finansal anomali tespiti</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