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18"/>
        </w:rPr>
        <w:t>LESSONS LEARNED</w:t>
      </w:r>
    </w:p>
    <w:p>
      <w:pPr>
        <w:spacing w:before="0" w:after="120"/>
      </w:pPr>
      <w:r>
        <w:rPr>
          <w:rFonts w:ascii="Calibri" w:hAnsi="Calibri"/>
          <w:b/>
          <w:color w:val="0B2545"/>
          <w:sz w:val="54"/>
        </w:rPr>
        <w:t>Hibernate HBM XML: Property Access und Vererbung</w:t>
      </w:r>
    </w:p>
    <w:p>
      <w:pPr>
        <w:spacing w:after="240"/>
        <w:pBdr>
          <w:bottom w:val="single" w:sz="14" w:space="8" w:color="2E74B5"/>
        </w:pBdr>
      </w:pPr>
      <w:r>
        <w:rPr>
          <w:rFonts w:ascii="Calibri" w:hAnsi="Calibri"/>
          <w:color w:val="667085"/>
          <w:sz w:val="24"/>
        </w:rPr>
        <w:t>Lernnotiz zur klassischen XML-Konfiguration – damit derselbe Fehler nicht noch einmal passiert</w:t>
      </w:r>
    </w:p>
    <w:p>
      <w:pPr>
        <w:spacing w:before="80" w:after="280"/>
      </w:pPr>
      <w:r>
        <w:rPr>
          <w:rFonts w:ascii="Calibri" w:hAnsi="Calibri"/>
          <w:b/>
          <w:color w:val="667085"/>
          <w:sz w:val="19"/>
        </w:rPr>
        <w:t xml:space="preserve">Kontext: </w:t>
      </w:r>
      <w:r>
        <w:rPr>
          <w:rFonts w:ascii="Calibri" w:hAnsi="Calibri"/>
          <w:color w:val="667085"/>
          <w:sz w:val="19"/>
        </w:rPr>
        <w:t xml:space="preserve">Hibernate HBM XML (Legacy)    </w:t>
      </w:r>
      <w:r>
        <w:rPr>
          <w:rFonts w:ascii="Calibri" w:hAnsi="Calibri"/>
          <w:b/>
          <w:color w:val="667085"/>
          <w:sz w:val="19"/>
        </w:rPr>
        <w:t xml:space="preserve">Datum: </w:t>
      </w:r>
      <w:r>
        <w:rPr>
          <w:rFonts w:ascii="Calibri" w:hAnsi="Calibri"/>
          <w:color w:val="667085"/>
          <w:sz w:val="19"/>
        </w:rPr>
        <w:t xml:space="preserve">16.08.2026    </w:t>
      </w:r>
      <w:r>
        <w:rPr>
          <w:rFonts w:ascii="Calibri" w:hAnsi="Calibri"/>
          <w:b/>
          <w:color w:val="667085"/>
          <w:sz w:val="19"/>
        </w:rPr>
        <w:t xml:space="preserve">Status: </w:t>
      </w:r>
      <w:r>
        <w:rPr>
          <w:rFonts w:ascii="Calibri" w:hAnsi="Calibri"/>
          <w:color w:val="667085"/>
          <w:sz w:val="19"/>
        </w:rPr>
        <w:t xml:space="preserve">Fehler verstanden und korrigiert    </w:t>
      </w:r>
    </w:p>
    <w:p>
      <w:pPr>
        <w:spacing w:before="120" w:after="200"/>
        <w:ind w:left="173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Kernlektion  </w:t>
      </w:r>
      <w:r>
        <w:rPr>
          <w:rFonts w:ascii="Calibri" w:hAnsi="Calibri"/>
          <w:color w:val="1F2937"/>
          <w:sz w:val="22"/>
        </w:rPr>
        <w:t>In einem HBM-XML bezeichnet name="…" standardmäßig eine JavaBean-Property. Ein privates Feld allein reicht nicht: Name, Getter und Setter müssen exakt zusammenpassen.</w:t>
      </w:r>
    </w:p>
    <w:p>
      <w:pPr>
        <w:pStyle w:val="Heading1"/>
      </w:pPr>
      <w:r>
        <w:t>1. Ausgangslage und Fehlerbild</w:t>
      </w:r>
    </w:p>
    <w:p>
      <w:r>
        <w:rPr>
          <w:rFonts w:ascii="Calibri" w:hAnsi="Calibri"/>
          <w:color w:val="1F2937"/>
          <w:sz w:val="22"/>
        </w:rPr>
        <w:t>Ich habe bewusst die klassische Hibernate-Konfiguration mit hibernate.cfg.xml und einer HBM-Mappingdatei verwendet, obwohl ich normalerweise moderne Annotationen nutze. IntelliJ meldete unter anderem „Cannot resolve Id 'employeeId'“ sowie entsprechende Fehler für phone, email, salary, joinDate, department und title.</w:t>
      </w:r>
    </w:p>
    <w:p>
      <w:r>
        <w:rPr>
          <w:rFonts w:ascii="Calibri" w:hAnsi="Calibri"/>
          <w:color w:val="1F2937"/>
          <w:sz w:val="22"/>
        </w:rPr>
        <w:t>Das entscheidende Signal war: Nicht nur eine einzelne Property war betroffen, sondern fast alle Properties von Employee. Person wurde dagegen erkannt.</w:t>
      </w:r>
    </w:p>
    <w:p>
      <w:pPr>
        <w:pStyle w:val="Heading1"/>
      </w:pPr>
      <w:r>
        <w:t>2. Root Cause</w:t>
      </w:r>
    </w:p>
    <w:p>
      <w:r>
        <w:rPr>
          <w:rFonts w:ascii="Calibri" w:hAnsi="Calibri"/>
          <w:color w:val="1F2937"/>
          <w:sz w:val="22"/>
        </w:rPr>
        <w:t>HBM XML verwendet ohne eine andere access-Angabe standardmäßig Property Access. Hibernate sucht deshalb zu jedem XML-Namen ein passendes JavaBean-Getter-/Setter-Paar.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&lt;id name="employeeId" column="EMPLOYEE_ID"&gt;</w:t>
        <w:br/>
      </w:r>
      <w:r>
        <w:rPr>
          <w:rFonts w:ascii="Liberation Mono" w:hAnsi="Liberation Mono"/>
          <w:color w:val="24292F"/>
          <w:sz w:val="18"/>
        </w:rPr>
        <w:t xml:space="preserve">    &lt;generator class="identity"/&gt;</w:t>
        <w:br/>
      </w:r>
      <w:r>
        <w:rPr>
          <w:rFonts w:ascii="Liberation Mono" w:hAnsi="Liberation Mono"/>
          <w:color w:val="24292F"/>
          <w:sz w:val="18"/>
        </w:rPr>
        <w:t>&lt;/id&gt;</w:t>
      </w:r>
    </w:p>
    <w:p>
      <w:r>
        <w:rPr>
          <w:rFonts w:ascii="Calibri" w:hAnsi="Calibri"/>
          <w:color w:val="1F2937"/>
          <w:sz w:val="22"/>
        </w:rPr>
        <w:t>Dazu erwartet Hibernate in Employee exakt: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public Long getEmployeeId() { return employeeId; }</w:t>
        <w:br/>
      </w:r>
      <w:r>
        <w:rPr>
          <w:rFonts w:ascii="Liberation Mono" w:hAnsi="Liberation Mono"/>
          <w:color w:val="24292F"/>
          <w:sz w:val="18"/>
        </w:rPr>
        <w:t>public void setEmployeeId(Long employeeId) { this.employeeId = employeeId; }</w:t>
      </w:r>
    </w:p>
    <w:p>
      <w:r>
        <w:rPr>
          <w:rFonts w:ascii="Calibri" w:hAnsi="Calibri"/>
          <w:color w:val="1F2937"/>
          <w:sz w:val="22"/>
        </w:rPr>
        <w:t>In Employee waren die Felder vorhanden, aber die Getter und Setter fehlten. Daher konnte die IDE die XML-Properties nicht auflösen.</w:t>
      </w:r>
    </w:p>
    <w:p>
      <w:pPr>
        <w:pStyle w:val="Heading2"/>
      </w:pPr>
      <w:r>
        <w:t>Namensabweichung bei Owner.title</w:t>
      </w:r>
    </w:p>
    <w:p>
      <w:r>
        <w:rPr>
          <w:rFonts w:ascii="Calibri" w:hAnsi="Calibri"/>
          <w:color w:val="1F2937"/>
          <w:sz w:val="22"/>
        </w:rPr>
        <w:t>Im Mapping hieß die Property title, die Methoden hießen jedoch getTitleName() und setTitleName().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// Nicht passend zu name="title"</w:t>
        <w:br/>
      </w:r>
      <w:r>
        <w:rPr>
          <w:rFonts w:ascii="Liberation Mono" w:hAnsi="Liberation Mono"/>
          <w:color w:val="24292F"/>
          <w:sz w:val="18"/>
        </w:rPr>
        <w:t>getTitleName() / setTitleName(...)</w:t>
        <w:br/>
      </w:r>
      <w:r>
        <w:rPr>
          <w:rFonts w:ascii="Liberation Mono" w:hAnsi="Liberation Mono"/>
          <w:color w:val="24292F"/>
          <w:sz w:val="18"/>
        </w:rPr>
        <w:br/>
      </w:r>
      <w:r>
        <w:rPr>
          <w:rFonts w:ascii="Liberation Mono" w:hAnsi="Liberation Mono"/>
          <w:color w:val="24292F"/>
          <w:sz w:val="18"/>
        </w:rPr>
        <w:t>// Passend</w:t>
        <w:br/>
      </w:r>
      <w:r>
        <w:rPr>
          <w:rFonts w:ascii="Liberation Mono" w:hAnsi="Liberation Mono"/>
          <w:color w:val="24292F"/>
          <w:sz w:val="18"/>
        </w:rPr>
        <w:t>getTitle() / setTitle(...)</w:t>
      </w:r>
    </w:p>
    <w:p>
      <w:pPr>
        <w:spacing w:before="120" w:after="200"/>
        <w:ind w:left="173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Merksatz  </w:t>
      </w:r>
      <w:r>
        <w:rPr>
          <w:rFonts w:ascii="Calibri" w:hAnsi="Calibri"/>
          <w:color w:val="1F2937"/>
          <w:sz w:val="22"/>
        </w:rPr>
        <w:t>XML-Name, Feldname und JavaBean-Methoden sollten dieselbe fachliche Property ausdrücken: title ↔ getTitle() ↔ setTitle(...).</w:t>
      </w:r>
    </w:p>
    <w:p>
      <w:pPr>
        <w:pStyle w:val="Heading1"/>
      </w:pPr>
      <w:r>
        <w:t>3. Warum es mit modernen Annotationen oft anders wirkt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Variante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Zugriff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Folge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Annotationen auf Feldern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Field Access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Hibernate liest die Felder direkt; Getter/Setter sind für das Mapping nicht zwingend.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Annotationen auf Gettern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Property Access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Getter/Setter bilden den Mapping-Vertrag.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HBM XML ohne access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Property Access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name="employeeId" verlangt getEmployeeId()/setEmployeeId(...).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HBM XML mit access="field"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Field Access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F2937"/>
                <w:sz w:val="19"/>
              </w:rPr>
              <w:t>Feldzugriff ist möglich, muss aber bewusst und konsistent gewählt werden.</w:t>
            </w:r>
          </w:p>
        </w:tc>
      </w:tr>
    </w:tbl>
    <w:p>
      <w:pPr>
        <w:pStyle w:val="Heading1"/>
      </w:pPr>
      <w:r>
        <w:t>4. Vollständige Korrektur der Properties</w:t>
      </w:r>
    </w:p>
    <w:p>
      <w:r>
        <w:rPr>
          <w:rFonts w:ascii="Calibri" w:hAnsi="Calibri"/>
          <w:color w:val="1F2937"/>
          <w:sz w:val="22"/>
        </w:rPr>
        <w:t>Für jede gemappte Employee-Property müssen passende Accessor-Methoden existieren: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employeeId → getEmployeeId() / setEmployeeId(Long)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phone → getPhone() / setPhone(String)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email → getEmail() / setEmail(String)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salary → getSalary() / setSalary(int)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joinDate → getJoinDate() / setJoinDate(Date)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department → getDepartment() / setDepartment(int)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title → getTitle() / setTitle(String)</w:t>
      </w:r>
    </w:p>
    <w:p>
      <w:r>
        <w:rPr>
          <w:rFonts w:ascii="Calibri" w:hAnsi="Calibri"/>
          <w:color w:val="1F2937"/>
          <w:sz w:val="22"/>
        </w:rPr>
        <w:t>Der parameterlose Konstruktor bleibt ebenfalls wichtig, damit Hibernate Objekte instanziieren kann. In Person, Employee und Owner war er bereits vorhanden.</w:t>
      </w:r>
    </w:p>
    <w:p>
      <w:pPr>
        <w:pStyle w:val="Heading1"/>
      </w:pPr>
      <w:r>
        <w:t>5. Mappingdatei in hibernate.cfg.xml registrieren</w:t>
      </w:r>
    </w:p>
    <w:p>
      <w:r>
        <w:rPr>
          <w:rFonts w:ascii="Calibri" w:hAnsi="Calibri"/>
          <w:color w:val="1F2937"/>
          <w:sz w:val="22"/>
        </w:rPr>
        <w:t>Die HBM-Datei muss innerhalb von &lt;session-factory&gt; als Resource geladen werden. Die auskommentierten &lt;mapping class="…"/&gt;-Einträge sind nicht der Ersatz für die XML-Resource. Liegt Personal.hm.xml direkt unter src/main/resources, lautet der Eintrag: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&lt;mapping resource="Personal.hm.xml"/&gt;</w:t>
      </w:r>
    </w:p>
    <w:p>
      <w:pPr>
        <w:spacing w:before="120" w:after="200"/>
        <w:ind w:left="173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Diagnosehinweis  </w:t>
      </w:r>
      <w:r>
        <w:rPr>
          <w:rFonts w:ascii="Calibri" w:hAnsi="Calibri"/>
          <w:color w:val="1F2937"/>
          <w:sz w:val="22"/>
        </w:rPr>
        <w:t>Sind die XML-Properties in der IDE korrekt, Hibernate meldet zur Laufzeit aber „Unknown entity“ oder erstellt keine erwarteten Tabellen, zuerst die Registrierung der Mapping-Resource prüfen.</w:t>
      </w:r>
    </w:p>
    <w:p>
      <w:pPr>
        <w:pStyle w:val="Heading1"/>
      </w:pPr>
      <w:r>
        <w:t>6. Vererbung korrekt modellieren</w:t>
      </w:r>
    </w:p>
    <w:p>
      <w:r>
        <w:rPr>
          <w:rFonts w:ascii="Calibri" w:hAnsi="Calibri"/>
          <w:color w:val="1F2937"/>
          <w:sz w:val="22"/>
        </w:rPr>
        <w:t>Employee und Owner erweitern Person. Werden alle drei dennoch als unabhängige Root-&lt;class&gt;-Mappings definiert, passt das Hibernate-Modell nicht sauber zum Java-Vererbungsmodell. Für die Strategie „joined tables“ werden die Unterklassen innerhalb von Person als &lt;joined-subclass&gt; gemappt.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Liberation Mono" w:hAnsi="Liberation Mono"/>
          <w:color w:val="24292F"/>
          <w:sz w:val="18"/>
        </w:rPr>
        <w:t>&lt;class name="Person" table="PERSONS"&gt;</w:t>
        <w:br/>
      </w:r>
      <w:r>
        <w:rPr>
          <w:rFonts w:ascii="Liberation Mono" w:hAnsi="Liberation Mono"/>
          <w:color w:val="24292F"/>
          <w:sz w:val="18"/>
        </w:rPr>
        <w:t xml:space="preserve">    &lt;id name="personId" column="PERSON_ID"&gt;…&lt;/id&gt;</w:t>
        <w:br/>
      </w:r>
      <w:r>
        <w:rPr>
          <w:rFonts w:ascii="Liberation Mono" w:hAnsi="Liberation Mono"/>
          <w:color w:val="24292F"/>
          <w:sz w:val="18"/>
        </w:rPr>
        <w:t xml:space="preserve">    &lt;!-- firstName, lastName, address --&gt;</w:t>
        <w:br/>
      </w:r>
      <w:r>
        <w:rPr>
          <w:rFonts w:ascii="Liberation Mono" w:hAnsi="Liberation Mono"/>
          <w:color w:val="24292F"/>
          <w:sz w:val="18"/>
        </w:rPr>
        <w:br/>
      </w:r>
      <w:r>
        <w:rPr>
          <w:rFonts w:ascii="Liberation Mono" w:hAnsi="Liberation Mono"/>
          <w:color w:val="24292F"/>
          <w:sz w:val="18"/>
        </w:rPr>
        <w:t xml:space="preserve">    &lt;joined-subclass name="Employee" table="EMPLOYEES"&gt;</w:t>
        <w:br/>
      </w:r>
      <w:r>
        <w:rPr>
          <w:rFonts w:ascii="Liberation Mono" w:hAnsi="Liberation Mono"/>
          <w:color w:val="24292F"/>
          <w:sz w:val="18"/>
        </w:rPr>
        <w:t xml:space="preserve">        &lt;key column="PERSON_ID"/&gt;</w:t>
        <w:br/>
      </w:r>
      <w:r>
        <w:rPr>
          <w:rFonts w:ascii="Liberation Mono" w:hAnsi="Liberation Mono"/>
          <w:color w:val="24292F"/>
          <w:sz w:val="18"/>
        </w:rPr>
        <w:t xml:space="preserve">        &lt;!-- phone, email, salary, joinDate, department --&gt;</w:t>
        <w:br/>
      </w:r>
      <w:r>
        <w:rPr>
          <w:rFonts w:ascii="Liberation Mono" w:hAnsi="Liberation Mono"/>
          <w:color w:val="24292F"/>
          <w:sz w:val="18"/>
        </w:rPr>
        <w:t xml:space="preserve">    &lt;/joined-subclass&gt;</w:t>
        <w:br/>
      </w:r>
      <w:r>
        <w:rPr>
          <w:rFonts w:ascii="Liberation Mono" w:hAnsi="Liberation Mono"/>
          <w:color w:val="24292F"/>
          <w:sz w:val="18"/>
        </w:rPr>
        <w:br/>
      </w:r>
      <w:r>
        <w:rPr>
          <w:rFonts w:ascii="Liberation Mono" w:hAnsi="Liberation Mono"/>
          <w:color w:val="24292F"/>
          <w:sz w:val="18"/>
        </w:rPr>
        <w:t xml:space="preserve">    &lt;joined-subclass name="Owner" table="OWNERS"&gt;</w:t>
        <w:br/>
      </w:r>
      <w:r>
        <w:rPr>
          <w:rFonts w:ascii="Liberation Mono" w:hAnsi="Liberation Mono"/>
          <w:color w:val="24292F"/>
          <w:sz w:val="18"/>
        </w:rPr>
        <w:t xml:space="preserve">        &lt;key column="PERSON_ID"/&gt;</w:t>
        <w:br/>
      </w:r>
      <w:r>
        <w:rPr>
          <w:rFonts w:ascii="Liberation Mono" w:hAnsi="Liberation Mono"/>
          <w:color w:val="24292F"/>
          <w:sz w:val="18"/>
        </w:rPr>
        <w:t xml:space="preserve">        &lt;property name="title" column="TITLE"/&gt;</w:t>
        <w:br/>
      </w:r>
      <w:r>
        <w:rPr>
          <w:rFonts w:ascii="Liberation Mono" w:hAnsi="Liberation Mono"/>
          <w:color w:val="24292F"/>
          <w:sz w:val="18"/>
        </w:rPr>
        <w:t xml:space="preserve">    &lt;/joined-subclass&gt;</w:t>
        <w:br/>
      </w:r>
      <w:r>
        <w:rPr>
          <w:rFonts w:ascii="Liberation Mono" w:hAnsi="Liberation Mono"/>
          <w:color w:val="24292F"/>
          <w:sz w:val="18"/>
        </w:rPr>
        <w:t>&lt;/class&gt;</w:t>
      </w:r>
    </w:p>
    <w:p>
      <w:r>
        <w:rPr>
          <w:rFonts w:ascii="Calibri" w:hAnsi="Calibri"/>
          <w:color w:val="1F2937"/>
          <w:sz w:val="22"/>
        </w:rPr>
        <w:t>Bei dieser Strategie wird personId vererbt. Employee und Owner benötigen dann normalerweise keine zusätzlichen IDs employeeId bzw. ownerId. Wenn die Klassen wirklich unabhängige Entitäten sein sollen, sollte auch die Java-Vererbung überdacht werden.</w:t>
      </w:r>
    </w:p>
    <w:p>
      <w:pPr>
        <w:pStyle w:val="Heading1"/>
      </w:pPr>
      <w:r>
        <w:t>7. Meine Debug-Reihenfolge für HBM XML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Fehlermuster lesen: Ist nur eine Property betroffen oder eine ganze Klasse?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Jeden XML-Namen exakt mit Getter und Setter vergleichen.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Typen prüfen: XML-Typ, Feldtyp, Getter-Rückgabe und Setter-Parameter müssen zusammenpassen.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Parameterlosen Konstruktor prüfen.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Sicherstellen, dass die HBM-Datei per &lt;mapping resource="…"/&gt; registriert ist.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Java-Vererbung und Hibernate-Vererbungsstrategie abgleichen.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Erst danach Datenbank, SQL-Ausgabe und Schema untersuchen.</w:t>
      </w:r>
    </w:p>
    <w:p>
      <w:pPr>
        <w:pStyle w:val="Heading1"/>
      </w:pPr>
      <w:r>
        <w:t>8. Checkliste vor dem nächsten Start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Alle name-Werte im HBM XML besitzen passende Getter und Setter.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Getter und Setter folgen exakt der JavaBean-Namenskonvention.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Keine Variante wie getTitleName(), wenn das Mapping title heißt.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Jede Entity besitzt einen parameterlosen Konstruktor.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Die Mappingdatei ist in hibernate.cfg.xml registriert.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Es ist bewusst entschieden: Property Access oder Field Access.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Die Vererbungsstrategie entspricht dem Java-Klassenmodell.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F2937"/>
          <w:sz w:val="22"/>
        </w:rPr>
        <w:t>show_sql und format_sql sind für das Debugging aktiviert.</w:t>
      </w:r>
    </w:p>
    <w:p>
      <w:pPr>
        <w:pStyle w:val="Heading1"/>
      </w:pPr>
      <w:r>
        <w:t>9. Zusätzliche Sicherheits- und Betriebslektionen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hbm2ddl.auto=create löscht und erzeugt das Schema beim Start neu. Nur für lokale Lern- und Testumgebungen verwenden; bei wichtigen Daten ist das gefährlich.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Datenbank-Zugangsdaten nicht im Repository speichern. Besser über Umgebungsvariablen, Secret Stores oder eine nicht eingecheckte lokale Konfiguration bereitstellen.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Falls eine Konfigurationsdatei mit echten Zugangsdaten bereits geteilt oder eingecheckt wurde, das Passwort ändern und die Historie prüfen.</w:t>
      </w:r>
    </w:p>
    <w:p>
      <w:pPr>
        <w:pStyle w:val="Heading1"/>
      </w:pPr>
      <w:r>
        <w:t>10. Persönlicher Merksatz</w:t>
      </w:r>
    </w:p>
    <w:p>
      <w:pPr>
        <w:spacing w:before="120" w:after="200"/>
        <w:ind w:left="173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Merksatz  </w:t>
      </w:r>
      <w:r>
        <w:rPr>
          <w:rFonts w:ascii="Calibri" w:hAnsi="Calibri"/>
          <w:color w:val="1F2937"/>
          <w:sz w:val="22"/>
        </w:rPr>
        <w:t>Bei altem Hibernate-XML ist ein Feld noch keine Property. Zuerst den Zugriffstyp prüfen, dann XML-Name ↔ Getter ↔ Setter abgleichen, anschließend Mapping-Resource und Vererbung kontrollieren.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Hibernate HBM XML · Lessons Learned  | 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separate"/>
    </w:r>
    <w:r>
      <w:rPr>
        <w:rFonts w:ascii="Calibri" w:hAnsi="Calibri"/>
        <w:color w:val="667085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JAVA 32 · LEGACY HIBERNATE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DejaVu Sans" w:hAnsi="DejaVu Sans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Learned – Hibernate HBM XML</dc:title>
  <dc:subject>Property Access, XML-Mapping und Vererbung</dc:subject>
  <dc:creator/>
  <cp:keywords>Hibernate, HBM XML, JavaBean, Property Access, Vererbung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