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System Architecture</w:t>
      </w:r>
    </w:p>
    <w:p>
      <w:pPr>
        <w:spacing w:before="0" w:after="60"/>
        <w:ind w:firstLine="288"/>
        <w:jc w:val="both"/>
      </w:pPr>
      <w:r>
        <w:rPr>
          <w:rFonts w:ascii="Times New Roman" w:hAnsi="Times New Roman"/>
          <w:sz w:val="20"/>
        </w:rPr>
        <w:t>mlcompass is organized into three layers (Fig. 1): user-facing surfaces (a CLI, a tool-integration server [7], an autonomous agent, and editor slash commands) routing to one deterministic backend; a strictly split two-layer brain (a pure-Python deterministic evidence layer whose output is always a structured dictionary, plus an optional LLM narrator over it); and a persistent project-context folder. Because the evidence layer is deterministic and offline, every command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3104984"/>
            <wp:docPr id="1" name="Picture 1"/>
            <wp:cNvGraphicFramePr>
              <a:graphicFrameLocks noChangeAspect="1"/>
            </wp:cNvGraphicFramePr>
            <a:graphic>
              <a:graphicData uri="http://schemas.openxmlformats.org/drawingml/2006/picture">
                <pic:pic>
                  <pic:nvPicPr>
                    <pic:cNvPr id="0" name="contract_flow.png"/>
                    <pic:cNvPicPr/>
                  </pic:nvPicPr>
                  <pic:blipFill>
                    <a:blip r:embed="rId9"/>
                    <a:stretch>
                      <a:fillRect/>
                    </a:stretch>
                  </pic:blipFill>
                  <pic:spPr>
                    <a:xfrm>
                      <a:off x="0" y="0"/>
                      <a:ext cx="3017520" cy="3104984"/>
                    </a:xfrm>
                    <a:prstGeom prst="rect"/>
                  </pic:spPr>
                </pic:pic>
              </a:graphicData>
            </a:graphic>
          </wp:inline>
        </w:drawing>
      </w:r>
    </w:p>
    <w:p>
      <w:pPr>
        <w:spacing w:before="40" w:after="120"/>
        <w:ind w:firstLine="0"/>
        <w:jc w:val="both"/>
      </w:pPr>
      <w:r>
        <w:rPr>
          <w:rFonts w:ascii="Times New Roman" w:hAnsi="Times New Roman"/>
          <w:sz w:val="18"/>
        </w:rPr>
        <w:t>Fig. 1. The evidence-bound contract. The deterministic layer emits the evidence dictionary E; Tier A binds the tool-schema enums to E at call time; Tier B deterministically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unmeasured in isolation</w:t>
      </w:r>
      <w:r>
        <w:rPr>
          <w:rFonts w:ascii="Times New Roman" w:hAnsi="Times New Roman"/>
          <w:sz w:val="20"/>
        </w:rPr>
        <w:t>, and no head-to-head against a static-schema decoder where decoders are applicable, nor against validate-and-reask toolkits [18], [19]; on the tested endpoint Tier A acts, at most, as schema-as-prompt steering.</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