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shows the architecture as the contract sees it. A dashed trust boundary separates the </w:t>
      </w:r>
      <w:r>
        <w:rPr>
          <w:rFonts w:ascii="Times New Roman" w:hAnsi="Times New Roman"/>
          <w:i/>
          <w:sz w:val="20"/>
        </w:rPr>
        <w:t>deterministic side</w:t>
      </w:r>
      <w:r>
        <w:rPr>
          <w:rFonts w:ascii="Times New Roman" w:hAnsi="Times New Roman"/>
          <w:sz w:val="20"/>
        </w:rPr>
        <w:t xml:space="preserve">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from the </w:t>
      </w:r>
      <w:r>
        <w:rPr>
          <w:rFonts w:ascii="Times New Roman" w:hAnsi="Times New Roman"/>
          <w:i/>
          <w:sz w:val="20"/>
        </w:rPr>
        <w:t>LLM narrator</w:t>
      </w:r>
      <w:r>
        <w:rPr>
          <w:rFonts w:ascii="Times New Roman" w:hAnsi="Times New Roman"/>
          <w:sz w:val="20"/>
        </w:rPr>
        <w:t xml:space="preserve">, which we treat as untrusted regardless of provider. Every arrow that crosses the boundary belongs to the contract: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output enters only through Tier B verification; on a violation, the corrective retry re-crosses the boundary with the offending items named. Nothing crosses unchecked. Inside mlcompass this boundary sits within a larger system: eleven pipeline tools exposed through a CLI, a tool-integration server [7], an autonomous agent, and editor slash commands, over a persistent project-context folder. Every surface routes through the same deterministic backend, so the contract guards the only path by which narrator output reaches a user. Because the evidence layer is deterministic and offline, every command also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marks the trust boundary between the deterministic side (plain code, trusted) and the LLM narrator (untrusted). The deterministic layer emits the evidence dictionary E; Tier A binds the tool-schema enums to E at call time; Tier B deterministically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separate the layers' contributions. With the evidence-bound enum in the schema, a bare prompt, and no verification (Tier A only), the observed rate fell from L1's 11.5% to 0/200: even on an endpoint without documented decode-time enforcement, the enum steers the model strongly; schemas act here as instructions, not just validators. Conversely, the full contract under the sweep's worst paraphrase (100/100 fabrication unenforced) produced zero first-attempt violations and therefore zero catches: the steering absorbed the worst wording outright. Neither observation is a guarantee, since steering, like prompting, can regress silently; but together with the stress arm they show each tier is independently effective in practice, while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Measured in isolation on the synthetic task only (0/200 from an 11.5% baseline), the enum demonstrably steers this endpoint, but absent decode-time enforcement it remains as uncertifiable as a prompt. No head-to-head against a static-schema decoder where decoders are applicable, nor against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