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ind w:firstLine="0"/>
        <w:jc w:val="center"/>
      </w:pPr>
      <w:r>
        <w:rPr>
          <w:rFonts w:ascii="Times New Roman" w:hAnsi="Times New Roman"/>
          <w:b/>
          <w:sz w:val="40"/>
        </w:rPr>
        <w:t>An Evidence-Bound Runtime Schema for Claim-Faithful LLM Narration of Machine-Learning Pipeline Evidence</w:t>
      </w:r>
    </w:p>
    <w:p>
      <w:pPr>
        <w:spacing w:after="40"/>
        <w:ind w:firstLine="0"/>
        <w:jc w:val="center"/>
      </w:pPr>
      <w:r>
        <w:rPr>
          <w:rFonts w:ascii="Times New Roman" w:hAnsi="Times New Roman"/>
          <w:sz w:val="24"/>
        </w:rPr>
        <w:t>Hakan Sabuniş, Yusuf Ünlü, and Selim Akyokuş</w:t>
      </w:r>
    </w:p>
    <w:p>
      <w:pPr>
        <w:spacing w:after="40"/>
        <w:ind w:firstLine="0"/>
        <w:jc w:val="center"/>
      </w:pPr>
      <w:r>
        <w:rPr>
          <w:rFonts w:ascii="Times New Roman" w:hAnsi="Times New Roman"/>
          <w:sz w:val="20"/>
        </w:rPr>
        <w:t>School of Engineering and Natural Sciences, Istanbul Medipol University, Istanbul, Turkey</w:t>
      </w:r>
    </w:p>
    <w:p>
      <w:pPr>
        <w:spacing w:after="240"/>
        <w:ind w:firstLine="0"/>
        <w:jc w:val="center"/>
      </w:pPr>
      <w:r>
        <w:rPr>
          <w:rFonts w:ascii="Times New Roman" w:hAnsi="Times New Roman"/>
          <w:i/>
          <w:sz w:val="20"/>
        </w:rPr>
        <w:t>{hakan.sabunis, yusuf.unlu}@std.medipol.edu.tr, sakyokus@medipol.edu.tr</w:t>
      </w:r>
    </w:p>
    <w:p>
      <w:pPr>
        <w:sectPr>
          <w:pgSz w:w="12240" w:h="15840"/>
          <w:pgMar w:top="1080" w:right="1080" w:bottom="1440" w:left="1080" w:header="720" w:footer="720" w:gutter="0"/>
          <w:docGrid w:linePitch="360"/>
          <w:cols w:num="1" w:space="360"/>
        </w:sectPr>
      </w:pPr>
    </w:p>
    <w:p>
      <w:pPr>
        <w:spacing w:before="120" w:after="120"/>
        <w:ind w:firstLine="0"/>
        <w:jc w:val="both"/>
      </w:pPr>
      <w:r>
        <w:rPr>
          <w:rFonts w:ascii="Times New Roman" w:hAnsi="Times New Roman"/>
          <w:b/>
          <w:i/>
          <w:sz w:val="20"/>
        </w:rPr>
        <w:t>Abstract—</w:t>
      </w:r>
      <w:r>
        <w:rPr>
          <w:rFonts w:ascii="Times New Roman" w:hAnsi="Times New Roman"/>
          <w:sz w:val="20"/>
        </w:rPr>
        <w:t xml:space="preserve">Large language model (LLM) agents increasingly narrate the structured output of deterministic tools for human operators, and they fabricate: they cite columns, defects, or numbers that are absent from, or contradict, the upstream evidence. We observe that such narration is </w:t>
      </w:r>
      <w:r>
        <w:rPr>
          <w:rFonts w:ascii="Times New Roman" w:hAnsi="Times New Roman"/>
          <w:i/>
          <w:sz w:val="20"/>
        </w:rPr>
        <w:t>evidence-closed</w:t>
      </w:r>
      <w:r>
        <w:rPr>
          <w:rFonts w:ascii="Times New Roman" w:hAnsi="Times New Roman"/>
          <w:sz w:val="20"/>
        </w:rPr>
        <w:t xml:space="preserve">: the citable entities and verifiable quantities are finite and machine-enumerable at call time, so faithfulness checking is decidable and fabrication can be prevented by construction rather than statistically mitigated. We present a two-tier </w:t>
      </w:r>
      <w:r>
        <w:rPr>
          <w:rFonts w:ascii="Times New Roman" w:hAnsi="Times New Roman"/>
          <w:i/>
          <w:sz w:val="20"/>
        </w:rPr>
        <w:t>evidence-bound runtime schema</w:t>
      </w:r>
      <w:r>
        <w:rPr>
          <w:rFonts w:ascii="Times New Roman" w:hAnsi="Times New Roman"/>
          <w:sz w:val="20"/>
        </w:rPr>
        <w:t xml:space="preserve">: tool-input </w:t>
      </w:r>
      <w:r>
        <w:rPr>
          <w:rFonts w:ascii="Consolas" w:hAnsi="Consolas"/>
          <w:sz w:val="18"/>
        </w:rPr>
        <w:t>enum</w:t>
      </w:r>
      <w:r>
        <w:rPr>
          <w:rFonts w:ascii="Times New Roman" w:hAnsi="Times New Roman"/>
          <w:sz w:val="20"/>
        </w:rPr>
        <w:t xml:space="preserve"> domains are generated from the evidence at call time, and the returned answer is deterministically verified for entity soundness, claim-value soundness, and completeness, with corrective retry, stripping, and flagging, independent of provider schema enforcement. We record two load-bearing formal observations: verification is linear-time, and soundness is safely repairable by deletion while completeness is not. Live measurements (N = 200 per cell) make the case: across six rule-free paraphrases of one instruction, the bare narrator's fabrication rate on identical evidence spanned 1%–100%, while the contract held the user-facing rate at 0/200 on all three verified channels of a synthetic and a real-data leakage task; under stress the verifier caught 76 live violations, passed none to the user, and one corrective message cut repeat violations from 37.5% to 1.3%. The contract ships in the production narrator of mlcompass, an open-source ML-pipeline assistant.</w:t>
      </w:r>
    </w:p>
    <w:p>
      <w:pPr>
        <w:spacing w:before="40" w:after="120"/>
        <w:ind w:firstLine="0"/>
        <w:jc w:val="both"/>
      </w:pPr>
      <w:r>
        <w:rPr>
          <w:rFonts w:ascii="Times New Roman" w:hAnsi="Times New Roman"/>
          <w:b/>
          <w:i/>
          <w:sz w:val="20"/>
        </w:rPr>
        <w:t>Index Terms—</w:t>
      </w:r>
      <w:r>
        <w:rPr>
          <w:rFonts w:ascii="Times New Roman" w:hAnsi="Times New Roman"/>
          <w:i/>
          <w:sz w:val="20"/>
        </w:rPr>
        <w:t>Agentic AI, large language models, hallucination mitigation, constrained generation, claim verification, tool use, data leakage.</w:t>
      </w:r>
    </w:p>
    <w:p>
      <w:pPr>
        <w:spacing w:before="160" w:after="80"/>
        <w:ind w:firstLine="0"/>
        <w:jc w:val="center"/>
      </w:pPr>
      <w:r>
        <w:rPr>
          <w:rFonts w:ascii="Times New Roman" w:hAnsi="Times New Roman"/>
          <w:b/>
          <w:sz w:val="20"/>
        </w:rPr>
        <w:t>I. INTRODUCTION</w:t>
      </w:r>
    </w:p>
    <w:p>
      <w:pPr>
        <w:spacing w:before="0" w:after="60"/>
        <w:ind w:firstLine="288"/>
        <w:jc w:val="both"/>
      </w:pPr>
      <w:r>
        <w:rPr>
          <w:rFonts w:ascii="Times New Roman" w:hAnsi="Times New Roman"/>
          <w:sz w:val="20"/>
        </w:rPr>
        <w:t xml:space="preserve">Modern machine-learning engineering is supported by a fragmented ecosystem of single-purpose tools: profiling libraries for dataset inspection [13], experiment trackers for training [14], [15], automated model search for selection [16]. Each covers one slice of the pipeline; none gives end-to-end advice. A natural response is to place a large language model (LLM) on top as an advisory layer: an </w:t>
      </w:r>
      <w:r>
        <w:rPr>
          <w:rFonts w:ascii="Times New Roman" w:hAnsi="Times New Roman"/>
          <w:i/>
          <w:sz w:val="20"/>
        </w:rPr>
        <w:t>agent</w:t>
      </w:r>
      <w:r>
        <w:rPr>
          <w:rFonts w:ascii="Times New Roman" w:hAnsi="Times New Roman"/>
          <w:sz w:val="20"/>
        </w:rPr>
        <w:t xml:space="preserve"> that calls these tools, reads their structured output, and explains it to the engineer, in the agentic pattern formalized by ReAct [5] and Toolformer [6] and operationalized by tool-integration standards [7].</w:t>
      </w:r>
    </w:p>
    <w:p>
      <w:pPr>
        <w:spacing w:before="0" w:after="60"/>
        <w:ind w:firstLine="288"/>
        <w:jc w:val="both"/>
      </w:pPr>
      <w:r>
        <w:rPr>
          <w:rFonts w:ascii="Times New Roman" w:hAnsi="Times New Roman"/>
          <w:sz w:val="20"/>
        </w:rPr>
        <w:t xml:space="preserve">The pattern has a well-documented hazard: LLMs hallucinate [1], [2]. Code assistants built on the same foundation models [3] still fail on real software tasks at substantial rates [4]. In an advisory ML setting the danger is specific. When the narrated object is </w:t>
      </w:r>
      <w:r>
        <w:rPr>
          <w:rFonts w:ascii="Times New Roman" w:hAnsi="Times New Roman"/>
          <w:i/>
          <w:sz w:val="20"/>
        </w:rPr>
        <w:t>structured evidence</w:t>
      </w:r>
      <w:r>
        <w:rPr>
          <w:rFonts w:ascii="Times New Roman" w:hAnsi="Times New Roman"/>
          <w:sz w:val="20"/>
        </w:rPr>
        <w:t xml:space="preserve">, a dictionary of measured facts produced by a deterministic tool, the agent can introduce what we call </w:t>
      </w:r>
      <w:r>
        <w:rPr>
          <w:rFonts w:ascii="Times New Roman" w:hAnsi="Times New Roman"/>
          <w:b/>
          <w:sz w:val="20"/>
        </w:rPr>
        <w:t>phantom-entity fabrication</w:t>
      </w:r>
      <w:r>
        <w:rPr>
          <w:rFonts w:ascii="Times New Roman" w:hAnsi="Times New Roman"/>
          <w:sz w:val="20"/>
        </w:rPr>
        <w:t xml:space="preserve">: it names a column, a defect, a remedy, or a number that is </w:t>
      </w:r>
      <w:r>
        <w:rPr>
          <w:rFonts w:ascii="Times New Roman" w:hAnsi="Times New Roman"/>
          <w:i/>
          <w:sz w:val="20"/>
        </w:rPr>
        <w:t>not present in</w:t>
      </w:r>
      <w:r>
        <w:rPr>
          <w:rFonts w:ascii="Times New Roman" w:hAnsi="Times New Roman"/>
          <w:sz w:val="20"/>
        </w:rPr>
        <w:t xml:space="preserve"> (or contradicts) that evidence. In the taxonomy of Ji </w:t>
      </w:r>
      <w:r>
        <w:rPr>
          <w:rFonts w:ascii="Times New Roman" w:hAnsi="Times New Roman"/>
          <w:i/>
          <w:sz w:val="20"/>
        </w:rPr>
        <w:t>et al.</w:t>
      </w:r>
      <w:r>
        <w:rPr>
          <w:rFonts w:ascii="Times New Roman" w:hAnsi="Times New Roman"/>
          <w:sz w:val="20"/>
        </w:rPr>
        <w:t xml:space="preserve"> [1] this is a closed-world faithfulness failure (extrinsic when an entity is invented, intrinsic when a quantity contradicts the source) over a source that is fully enumerable. A fabricated diagnosis delivered with fluent confidence is worse than no diagnosis, because the practitioner acts on it.</w:t>
      </w:r>
    </w:p>
    <w:p>
      <w:pPr>
        <w:spacing w:before="0" w:after="60"/>
        <w:ind w:firstLine="288"/>
        <w:jc w:val="both"/>
      </w:pPr>
      <w:r>
        <w:rPr>
          <w:rFonts w:ascii="Times New Roman" w:hAnsi="Times New Roman"/>
          <w:sz w:val="20"/>
        </w:rPr>
        <w:t xml:space="preserve">Our starting observation is that this setting has structure the general hallucination problem lacks. </w:t>
      </w:r>
      <w:r>
        <w:rPr>
          <w:rFonts w:ascii="Times New Roman" w:hAnsi="Times New Roman"/>
          <w:b/>
          <w:sz w:val="20"/>
        </w:rPr>
        <w:t>Definition (evidence-closed narration).</w:t>
      </w:r>
      <w:r>
        <w:rPr>
          <w:rFonts w:ascii="Times New Roman" w:hAnsi="Times New Roman"/>
          <w:sz w:val="20"/>
        </w:rPr>
        <w:t xml:space="preserve"> </w:t>
      </w:r>
      <w:r>
        <w:rPr>
          <w:rFonts w:ascii="Times New Roman" w:hAnsi="Times New Roman"/>
          <w:i/>
          <w:sz w:val="20"/>
        </w:rPr>
        <w:t>A narration task is evidence-closed if the set of citable entities and verifiable quantities is finite and machine-enumerable at the moment of the narration call.</w:t>
      </w:r>
      <w:r>
        <w:rPr>
          <w:rFonts w:ascii="Times New Roman" w:hAnsi="Times New Roman"/>
          <w:sz w:val="20"/>
        </w:rPr>
        <w:t xml:space="preserve"> For evidence-closed tasks, faithfulness checking is </w:t>
      </w:r>
      <w:r>
        <w:rPr>
          <w:rFonts w:ascii="Times New Roman" w:hAnsi="Times New Roman"/>
          <w:i/>
          <w:sz w:val="20"/>
        </w:rPr>
        <w:t>decidable</w:t>
      </w:r>
      <w:r>
        <w:rPr>
          <w:rFonts w:ascii="Times New Roman" w:hAnsi="Times New Roman"/>
          <w:sz w:val="20"/>
        </w:rPr>
        <w:t xml:space="preserve">: entity citations reduce to set membership, quantitative claims to numeric comparison, coverage of critical evidence to anchor checking. Decidability changes the goal from </w:t>
      </w:r>
      <w:r>
        <w:rPr>
          <w:rFonts w:ascii="Times New Roman" w:hAnsi="Times New Roman"/>
          <w:i/>
          <w:sz w:val="20"/>
        </w:rPr>
        <w:t>mitigation</w:t>
      </w:r>
      <w:r>
        <w:rPr>
          <w:rFonts w:ascii="Times New Roman" w:hAnsi="Times New Roman"/>
          <w:sz w:val="20"/>
        </w:rPr>
        <w:t xml:space="preserve"> (lowering a fabrication probability) to </w:t>
      </w:r>
      <w:r>
        <w:rPr>
          <w:rFonts w:ascii="Times New Roman" w:hAnsi="Times New Roman"/>
          <w:i/>
          <w:sz w:val="20"/>
        </w:rPr>
        <w:t>prevention</w:t>
      </w:r>
      <w:r>
        <w:rPr>
          <w:rFonts w:ascii="Times New Roman" w:hAnsi="Times New Roman"/>
          <w:sz w:val="20"/>
        </w:rPr>
        <w:t xml:space="preserve"> (making unfaithful output unreturnable).</w:t>
      </w:r>
    </w:p>
    <w:p>
      <w:pPr>
        <w:spacing w:before="0" w:after="60"/>
        <w:ind w:firstLine="288"/>
        <w:jc w:val="both"/>
      </w:pPr>
      <w:r>
        <w:rPr>
          <w:rFonts w:ascii="Times New Roman" w:hAnsi="Times New Roman"/>
          <w:sz w:val="20"/>
        </w:rPr>
        <w:t xml:space="preserve">A natural starting point is </w:t>
      </w:r>
      <w:r>
        <w:rPr>
          <w:rFonts w:ascii="Times New Roman" w:hAnsi="Times New Roman"/>
          <w:i/>
          <w:sz w:val="20"/>
        </w:rPr>
        <w:t>constrained generation</w:t>
      </w:r>
      <w:r>
        <w:rPr>
          <w:rFonts w:ascii="Times New Roman" w:hAnsi="Times New Roman"/>
          <w:sz w:val="20"/>
        </w:rPr>
        <w:t xml:space="preserve">: Outlines [8], LMQL [9], grammar-constrained decoding [10], and Guidance [11] enforce a grammar or schema during decoding, and provider tool-use APIs validate calls against a declared JSON schema [12]. These mechanisms can be driven by </w:t>
      </w:r>
      <w:r>
        <w:rPr>
          <w:rFonts w:ascii="Times New Roman" w:hAnsi="Times New Roman"/>
          <w:i/>
          <w:sz w:val="20"/>
        </w:rPr>
        <w:t>input-dependent</w:t>
      </w:r>
      <w:r>
        <w:rPr>
          <w:rFonts w:ascii="Times New Roman" w:hAnsi="Times New Roman"/>
          <w:sz w:val="20"/>
        </w:rPr>
        <w:t xml:space="preserve"> grammars [10] and per-request schemas. Two gaps remain. First, decoding-time enforcement requires access to the model's token distribution, which commercial APIs do not expose. Second, even a per-call schema offers no guarantee unless the provider's enforcement is trusted, which, for a safety claim, it should not be.</w:t>
      </w:r>
    </w:p>
    <w:p>
      <w:pPr>
        <w:spacing w:before="0" w:after="60"/>
        <w:ind w:firstLine="288"/>
        <w:jc w:val="both"/>
      </w:pPr>
      <w:r>
        <w:rPr>
          <w:rFonts w:ascii="Times New Roman" w:hAnsi="Times New Roman"/>
          <w:sz w:val="20"/>
        </w:rPr>
        <w:t xml:space="preserve">We close these gaps with a two-tier </w:t>
      </w:r>
      <w:r>
        <w:rPr>
          <w:rFonts w:ascii="Times New Roman" w:hAnsi="Times New Roman"/>
          <w:b/>
          <w:sz w:val="20"/>
        </w:rPr>
        <w:t>evidence-bound runtime schema</w:t>
      </w:r>
      <w:r>
        <w:rPr>
          <w:rFonts w:ascii="Times New Roman" w:hAnsi="Times New Roman"/>
          <w:sz w:val="20"/>
        </w:rPr>
        <w:t xml:space="preserve">. </w:t>
      </w:r>
      <w:r>
        <w:rPr>
          <w:rFonts w:ascii="Times New Roman" w:hAnsi="Times New Roman"/>
          <w:i/>
          <w:sz w:val="20"/>
        </w:rPr>
        <w:t>Tier A (constrained generation):</w:t>
      </w:r>
      <w:r>
        <w:rPr>
          <w:rFonts w:ascii="Times New Roman" w:hAnsi="Times New Roman"/>
          <w:sz w:val="20"/>
        </w:rPr>
        <w:t xml:space="preserve"> the </w:t>
      </w:r>
      <w:r>
        <w:rPr>
          <w:rFonts w:ascii="Consolas" w:hAnsi="Consolas"/>
          <w:sz w:val="18"/>
        </w:rPr>
        <w:t>enum</w:t>
      </w:r>
      <w:r>
        <w:rPr>
          <w:rFonts w:ascii="Times New Roman" w:hAnsi="Times New Roman"/>
          <w:sz w:val="20"/>
        </w:rPr>
        <w:t xml:space="preserve"> domains of the narrator's tool-input fields are generated at call time from the deterministic evidence dictionary. </w:t>
      </w:r>
      <w:r>
        <w:rPr>
          <w:rFonts w:ascii="Times New Roman" w:hAnsi="Times New Roman"/>
          <w:i/>
          <w:sz w:val="20"/>
        </w:rPr>
        <w:t>Tier B (deterministic verification):</w:t>
      </w:r>
      <w:r>
        <w:rPr>
          <w:rFonts w:ascii="Times New Roman" w:hAnsi="Times New Roman"/>
          <w:sz w:val="20"/>
        </w:rPr>
        <w:t xml:space="preserve"> the returned answer is checked in plain code on three channels: entity soundness, value soundness of structured </w:t>
      </w:r>
      <w:r>
        <w:rPr>
          <w:rFonts w:ascii="Consolas" w:hAnsi="Consolas"/>
          <w:sz w:val="18"/>
        </w:rPr>
        <w:t>{column, statistic, value}</w:t>
      </w:r>
      <w:r>
        <w:rPr>
          <w:rFonts w:ascii="Times New Roman" w:hAnsi="Times New Roman"/>
          <w:sz w:val="20"/>
        </w:rPr>
        <w:t xml:space="preserve"> claims (within a small tolerance so honest rounding passes), and completeness with respect to the top-ranked candidate. Violations trigger a corrective retry; after the budget, unsound entities and claims are stripped, and persistent omissions are flagged. The resulting guarantee holds independent of the provider: </w:t>
      </w:r>
      <w:r>
        <w:rPr>
          <w:rFonts w:ascii="Times New Roman" w:hAnsi="Times New Roman"/>
          <w:i/>
          <w:sz w:val="20"/>
        </w:rPr>
        <w:t>every entity and every number in the validated citation and claim channels is present in, and equal to, the deterministic evidence</w:t>
      </w:r>
      <w:r>
        <w:rPr>
          <w:rFonts w:ascii="Times New Roman" w:hAnsi="Times New Roman"/>
          <w:sz w:val="20"/>
        </w:rPr>
        <w:t>; free-text narration sits outside the verified channels, and renderers surface the validated fields as the actionable output. The verification step is deliberately simple; that simplicity is what decidability buys (Sec. III-C formalizes this), and it is why the guarantee can be absolute where decoding-time methods cannot even be applied.</w:t>
      </w:r>
    </w:p>
    <w:p>
      <w:pPr>
        <w:spacing w:before="0" w:after="60"/>
        <w:ind w:firstLine="288"/>
        <w:jc w:val="both"/>
      </w:pPr>
      <w:r>
        <w:rPr>
          <w:rFonts w:ascii="Times New Roman" w:hAnsi="Times New Roman"/>
          <w:sz w:val="20"/>
        </w:rPr>
        <w:t xml:space="preserve">We instantiate the contract in </w:t>
      </w:r>
      <w:r>
        <w:rPr>
          <w:rFonts w:ascii="Times New Roman" w:hAnsi="Times New Roman"/>
          <w:b/>
          <w:sz w:val="20"/>
        </w:rPr>
        <w:t>mlcompass</w:t>
      </w:r>
      <w:r>
        <w:rPr>
          <w:rFonts w:ascii="Times New Roman" w:hAnsi="Times New Roman"/>
          <w:sz w:val="20"/>
        </w:rPr>
        <w:t>, an open-source (MIT) ML-pipeline assistant, in the production narrator triggered when a deterministic metric looks impossibly good (e.g., R² &gt; 0.999), the canonical signature of data leakage [17].</w:t>
      </w:r>
    </w:p>
    <w:p>
      <w:pPr>
        <w:spacing w:before="0" w:after="60"/>
        <w:ind w:firstLine="288"/>
        <w:jc w:val="both"/>
      </w:pPr>
      <w:r>
        <w:rPr>
          <w:rFonts w:ascii="Times New Roman" w:hAnsi="Times New Roman"/>
          <w:sz w:val="20"/>
        </w:rPr>
        <w:t>The paper makes three contributions:</w:t>
      </w:r>
    </w:p>
    <w:p>
      <w:pPr>
        <w:spacing w:after="40"/>
        <w:ind w:left="360" w:hanging="216"/>
        <w:jc w:val="both"/>
      </w:pPr>
      <w:r>
        <w:rPr>
          <w:rFonts w:ascii="Times New Roman" w:hAnsi="Times New Roman"/>
          <w:sz w:val="20"/>
        </w:rPr>
        <w:t xml:space="preserve">1. </w:t>
      </w:r>
      <w:r>
        <w:rPr>
          <w:rFonts w:ascii="Times New Roman" w:hAnsi="Times New Roman"/>
          <w:sz w:val="20"/>
        </w:rPr>
        <w:t xml:space="preserve">We define the </w:t>
      </w:r>
      <w:r>
        <w:rPr>
          <w:rFonts w:ascii="Times New Roman" w:hAnsi="Times New Roman"/>
          <w:i/>
          <w:sz w:val="20"/>
        </w:rPr>
        <w:t>evidence-closed</w:t>
      </w:r>
      <w:r>
        <w:rPr>
          <w:rFonts w:ascii="Times New Roman" w:hAnsi="Times New Roman"/>
          <w:sz w:val="20"/>
        </w:rPr>
        <w:t xml:space="preserve"> class of narration tasks and establish its two load-bearing formal properties: faithfulness verification is linear-time (Prop. 1), and soundness is safely repairable by deletion while completeness is not (Prop. 2); this is the structural reason the contract strips unsound content but can only flag omissions (Sec. III-C).</w:t>
      </w:r>
    </w:p>
    <w:p>
      <w:pPr>
        <w:spacing w:after="40"/>
        <w:ind w:left="360" w:hanging="216"/>
        <w:jc w:val="both"/>
      </w:pPr>
      <w:r>
        <w:rPr>
          <w:rFonts w:ascii="Times New Roman" w:hAnsi="Times New Roman"/>
          <w:sz w:val="20"/>
        </w:rPr>
        <w:t xml:space="preserve">2. </w:t>
      </w:r>
      <w:r>
        <w:rPr>
          <w:rFonts w:ascii="Times New Roman" w:hAnsi="Times New Roman"/>
          <w:sz w:val="20"/>
        </w:rPr>
        <w:t>We measure the contract live on a synthetic and a real-data leakage task (N = 200 per cell, Wilson 95% CIs): bare narrators fabricate at 11.5% and 43.5%; the contract holds the user-facing rate at 0/200 on all three channels of both tasks; and in stress configurations the deterministic verifier demonstrably catches 80 live violations (76 on the real-data task) while passing none to the user; a pre-stated iid retry model is rejected in the informative direction: corrective feedback cuts repeat violations from 37.5% to 1.3% (Sec. IV).</w:t>
      </w:r>
    </w:p>
    <w:p>
      <w:pPr>
        <w:spacing w:after="40"/>
        <w:ind w:left="360" w:hanging="216"/>
        <w:jc w:val="both"/>
      </w:pPr>
      <w:r>
        <w:rPr>
          <w:rFonts w:ascii="Times New Roman" w:hAnsi="Times New Roman"/>
          <w:sz w:val="20"/>
        </w:rPr>
        <w:t xml:space="preserve">3. </w:t>
      </w:r>
      <w:r>
        <w:rPr>
          <w:rFonts w:ascii="Times New Roman" w:hAnsi="Times New Roman"/>
          <w:sz w:val="20"/>
        </w:rPr>
        <w:t>We show with a six-way paraphrase sweep that the bare narrator's fabrication rate on identical evidence ranges from 1% to 100% under rule-free rewording; prompt-level defenses are not certifiable, which is the empirical case for structural enforcement (Sec. IV-C).</w:t>
      </w:r>
    </w:p>
    <w:p>
      <w:pPr>
        <w:spacing w:before="0" w:after="60"/>
        <w:ind w:firstLine="288"/>
        <w:jc w:val="both"/>
      </w:pPr>
      <w:r>
        <w:rPr>
          <w:rFonts w:ascii="Times New Roman" w:hAnsi="Times New Roman"/>
          <w:sz w:val="20"/>
        </w:rPr>
        <w:t>Section II reviews related work, Section III the system and contract, Section IV experiments, Section V discussion, Section VI conclusion.</w:t>
      </w:r>
    </w:p>
    <w:p>
      <w:pPr>
        <w:spacing w:before="160" w:after="80"/>
        <w:ind w:firstLine="0"/>
        <w:jc w:val="center"/>
      </w:pPr>
      <w:r>
        <w:rPr>
          <w:rFonts w:ascii="Times New Roman" w:hAnsi="Times New Roman"/>
          <w:b/>
          <w:sz w:val="20"/>
        </w:rPr>
        <w:t>II. RELATED WORK</w:t>
      </w:r>
    </w:p>
    <w:p>
      <w:pPr>
        <w:spacing w:before="0" w:after="60"/>
        <w:ind w:firstLine="288"/>
        <w:jc w:val="both"/>
      </w:pPr>
      <w:r>
        <w:rPr>
          <w:rFonts w:ascii="Times New Roman" w:hAnsi="Times New Roman"/>
          <w:b/>
          <w:sz w:val="20"/>
        </w:rPr>
        <w:t>Hallucination and faithfulness.</w:t>
      </w:r>
      <w:r>
        <w:rPr>
          <w:rFonts w:ascii="Times New Roman" w:hAnsi="Times New Roman"/>
          <w:sz w:val="20"/>
        </w:rPr>
        <w:t xml:space="preserve"> Ji </w:t>
      </w:r>
      <w:r>
        <w:rPr>
          <w:rFonts w:ascii="Times New Roman" w:hAnsi="Times New Roman"/>
          <w:i/>
          <w:sz w:val="20"/>
        </w:rPr>
        <w:t>et al.</w:t>
      </w:r>
      <w:r>
        <w:rPr>
          <w:rFonts w:ascii="Times New Roman" w:hAnsi="Times New Roman"/>
          <w:sz w:val="20"/>
        </w:rPr>
        <w:t xml:space="preserve"> [1] survey hallucination across generation tasks and distinguish intrinsic from extrinsic failures; Huang </w:t>
      </w:r>
      <w:r>
        <w:rPr>
          <w:rFonts w:ascii="Times New Roman" w:hAnsi="Times New Roman"/>
          <w:i/>
          <w:sz w:val="20"/>
        </w:rPr>
        <w:t>et al.</w:t>
      </w:r>
      <w:r>
        <w:rPr>
          <w:rFonts w:ascii="Times New Roman" w:hAnsi="Times New Roman"/>
          <w:sz w:val="20"/>
        </w:rPr>
        <w:t xml:space="preserve"> [2] give an LLM-specific taxonomy. Phantom-entity fabrication is an extrinsic failure with special structure: the "source" is a finite, machine-enumerable evidence dictionary, making the faithfulness check decidable rather than open-world. Our work eliminates this decidable slice at the tool boundary.</w:t>
      </w:r>
    </w:p>
    <w:p>
      <w:pPr>
        <w:spacing w:before="0" w:after="60"/>
        <w:ind w:firstLine="288"/>
        <w:jc w:val="both"/>
      </w:pPr>
      <w:r>
        <w:rPr>
          <w:rFonts w:ascii="Times New Roman" w:hAnsi="Times New Roman"/>
          <w:b/>
          <w:sz w:val="20"/>
        </w:rPr>
        <w:t>LLM agents and tool use.</w:t>
      </w:r>
      <w:r>
        <w:rPr>
          <w:rFonts w:ascii="Times New Roman" w:hAnsi="Times New Roman"/>
          <w:sz w:val="20"/>
        </w:rPr>
        <w:t xml:space="preserve"> ReAct [5] interleaves reasoning with tool actions; Toolformer [6] shows models can learn when and how to call external APIs; tool-integration standards [7] let LLM clients discover and call third-party tools over a uniform protocol. These establish </w:t>
      </w:r>
      <w:r>
        <w:rPr>
          <w:rFonts w:ascii="Times New Roman" w:hAnsi="Times New Roman"/>
          <w:i/>
          <w:sz w:val="20"/>
        </w:rPr>
        <w:t>how</w:t>
      </w:r>
      <w:r>
        <w:rPr>
          <w:rFonts w:ascii="Times New Roman" w:hAnsi="Times New Roman"/>
          <w:sz w:val="20"/>
        </w:rPr>
        <w:t xml:space="preserve"> agents act; they do not constrain </w:t>
      </w:r>
      <w:r>
        <w:rPr>
          <w:rFonts w:ascii="Times New Roman" w:hAnsi="Times New Roman"/>
          <w:i/>
          <w:sz w:val="20"/>
        </w:rPr>
        <w:t>what</w:t>
      </w:r>
      <w:r>
        <w:rPr>
          <w:rFonts w:ascii="Times New Roman" w:hAnsi="Times New Roman"/>
          <w:sz w:val="20"/>
        </w:rPr>
        <w:t xml:space="preserve"> an agent may say about a tool's output. Our contract sits at that under-specified boundary.</w:t>
      </w:r>
    </w:p>
    <w:p>
      <w:pPr>
        <w:spacing w:before="0" w:after="60"/>
        <w:ind w:firstLine="288"/>
        <w:jc w:val="both"/>
      </w:pPr>
      <w:r>
        <w:rPr>
          <w:rFonts w:ascii="Times New Roman" w:hAnsi="Times New Roman"/>
          <w:b/>
          <w:sz w:val="20"/>
        </w:rPr>
        <w:t>Constrained and structured generation (closest prior art).</w:t>
      </w:r>
      <w:r>
        <w:rPr>
          <w:rFonts w:ascii="Times New Roman" w:hAnsi="Times New Roman"/>
          <w:sz w:val="20"/>
        </w:rPr>
        <w:t xml:space="preserve"> Outlines [8] reformulates guided decoding as transitions over a finite-state machine. LMQL [9] adds declarative constraints over a typed grammar. Grammar-constrained decoding [10] guarantees grammatical validity without fine-tuning and </w:t>
      </w:r>
      <w:r>
        <w:rPr>
          <w:rFonts w:ascii="Times New Roman" w:hAnsi="Times New Roman"/>
          <w:i/>
          <w:sz w:val="20"/>
        </w:rPr>
        <w:t>explicitly supports input-dependent grammars</w:t>
      </w:r>
      <w:r>
        <w:rPr>
          <w:rFonts w:ascii="Times New Roman" w:hAnsi="Times New Roman"/>
          <w:sz w:val="20"/>
        </w:rPr>
        <w:t xml:space="preserve">. Guidance [11] enforces JSON-schema and regex constraints at the token level, and provider tool-use APIs validate calls against a declared JSON schema [12]. We do not claim that varying a constraint with the input is new; [10] already does. Our setup differs in two ways: the value domain is bound specifically to a </w:t>
      </w:r>
      <w:r>
        <w:rPr>
          <w:rFonts w:ascii="Times New Roman" w:hAnsi="Times New Roman"/>
          <w:i/>
          <w:sz w:val="20"/>
        </w:rPr>
        <w:t>deterministic evidence producer</w:t>
      </w:r>
      <w:r>
        <w:rPr>
          <w:rFonts w:ascii="Times New Roman" w:hAnsi="Times New Roman"/>
          <w:sz w:val="20"/>
        </w:rPr>
        <w:t>, so the constraint tracks ground-truth observations rather than task structure; and enforcement is not delegated to the decoder or provider: deterministic post-verification makes the guarantee hold even if the provider admits an out-of-enum token, which matters because decoding-time enforcement is unavailable behind commercial APIs. The combination of evidence-bound domains, claim-level value verification, completeness checking, and provider-independent enforcement, framed around a decidable faithfulness class, is, to our knowledge, not described as a contract in this literature. A complementary practical line wraps LLM calls in output validators with automatic re-asking: Guardrails AI [18] and NeMo Guardrails [19] ship this validate-and-repair loop as general-purpose toolkits. Tier B shares the loop's shape; the difference is the validator itself: decidable faithfulness against a deterministic evidence producer, with the strip-vs-flag semantics that Prop. 2 shows is forced, rather than user-authored heuristic checks.</w:t>
      </w:r>
    </w:p>
    <w:p>
      <w:pPr>
        <w:spacing w:before="0" w:after="60"/>
        <w:ind w:firstLine="288"/>
        <w:jc w:val="both"/>
      </w:pPr>
      <w:r>
        <w:rPr>
          <w:rFonts w:ascii="Times New Roman" w:hAnsi="Times New Roman"/>
          <w:b/>
          <w:sz w:val="20"/>
        </w:rPr>
        <w:t>Code assistants and their reliability.</w:t>
      </w:r>
      <w:r>
        <w:rPr>
          <w:rFonts w:ascii="Times New Roman" w:hAnsi="Times New Roman"/>
          <w:sz w:val="20"/>
        </w:rPr>
        <w:t xml:space="preserve"> Foundation models trained on code [3] power widely-used assistants, yet they resolve only a fraction of real-world software issues [4] and, in our informal pre-project trials, silently accepted semantically invalid training configurations. General-purpose assistants target syntactic correctness; ML-pipeline tooling must target domain-specific semantic correctness without fabricating.</w:t>
      </w:r>
    </w:p>
    <w:p>
      <w:pPr>
        <w:spacing w:before="0" w:after="60"/>
        <w:ind w:firstLine="288"/>
        <w:jc w:val="both"/>
      </w:pPr>
      <w:r>
        <w:rPr>
          <w:rFonts w:ascii="Times New Roman" w:hAnsi="Times New Roman"/>
          <w:b/>
          <w:sz w:val="20"/>
        </w:rPr>
        <w:t>ML pipeline tooling.</w:t>
      </w:r>
      <w:r>
        <w:rPr>
          <w:rFonts w:ascii="Times New Roman" w:hAnsi="Times New Roman"/>
          <w:sz w:val="20"/>
        </w:rPr>
        <w:t xml:space="preserve"> Profiling libraries [13] have no notion of a target column; experiment trackers [14], [15] record metrics without interpreting them; automated model search [16] selects estimators without narrating </w:t>
      </w:r>
      <w:r>
        <w:rPr>
          <w:rFonts w:ascii="Times New Roman" w:hAnsi="Times New Roman"/>
          <w:i/>
          <w:sz w:val="20"/>
        </w:rPr>
        <w:t>why</w:t>
      </w:r>
      <w:r>
        <w:rPr>
          <w:rFonts w:ascii="Times New Roman" w:hAnsi="Times New Roman"/>
          <w:sz w:val="20"/>
        </w:rPr>
        <w:t xml:space="preserve">. mlcompass adds a state-carrying advisory layer over the same artifacts; the contribution of </w:t>
      </w:r>
      <w:r>
        <w:rPr>
          <w:rFonts w:ascii="Times New Roman" w:hAnsi="Times New Roman"/>
          <w:i/>
          <w:sz w:val="20"/>
        </w:rPr>
        <w:t>this paper</w:t>
      </w:r>
      <w:r>
        <w:rPr>
          <w:rFonts w:ascii="Times New Roman" w:hAnsi="Times New Roman"/>
          <w:sz w:val="20"/>
        </w:rPr>
        <w:t xml:space="preserve"> is the reliability contract, not the tool surface.</w:t>
      </w:r>
    </w:p>
    <w:p>
      <w:pPr>
        <w:spacing w:before="160" w:after="80"/>
        <w:ind w:firstLine="0"/>
        <w:jc w:val="center"/>
      </w:pPr>
      <w:r>
        <w:rPr>
          <w:rFonts w:ascii="Times New Roman" w:hAnsi="Times New Roman"/>
          <w:b/>
          <w:sz w:val="20"/>
        </w:rPr>
        <w:t>III. METHODOLOGY</w:t>
      </w:r>
    </w:p>
    <w:p>
      <w:pPr>
        <w:spacing w:before="120" w:after="40"/>
        <w:ind w:firstLine="0"/>
        <w:jc w:val="left"/>
      </w:pPr>
      <w:r>
        <w:rPr>
          <w:rFonts w:ascii="Times New Roman" w:hAnsi="Times New Roman"/>
          <w:b/>
          <w:i/>
          <w:sz w:val="20"/>
        </w:rPr>
        <w:t>A. Threat Model</w:t>
      </w:r>
    </w:p>
    <w:p>
      <w:pPr>
        <w:spacing w:before="0" w:after="60"/>
        <w:ind w:firstLine="288"/>
        <w:jc w:val="both"/>
      </w:pPr>
      <w:r>
        <w:rPr>
          <w:rFonts w:ascii="Times New Roman" w:hAnsi="Times New Roman"/>
          <w:sz w:val="20"/>
        </w:rPr>
        <w:t xml:space="preserve">We assume an honest operator and a well-behaved LLM provider: no adversarial weight poisoning, no malicious operator. The risk addressed is the model's tendency to fabricate or misreport entities and quantities under output-distribution pressure. We do </w:t>
      </w:r>
      <w:r>
        <w:rPr>
          <w:rFonts w:ascii="Times New Roman" w:hAnsi="Times New Roman"/>
          <w:b/>
          <w:sz w:val="20"/>
        </w:rPr>
        <w:t>not</w:t>
      </w:r>
      <w:r>
        <w:rPr>
          <w:rFonts w:ascii="Times New Roman" w:hAnsi="Times New Roman"/>
          <w:sz w:val="20"/>
        </w:rPr>
        <w:t xml:space="preserve"> address: (i) adversarial column names in user data attempting prompt injection; (ii) provider outages; (iii) miscalibrated confidence on correctly-cited, correctly-valued evidence. Residual risks: Sec. V-E.</w:t>
      </w:r>
    </w:p>
    <w:p>
      <w:pPr>
        <w:spacing w:before="120" w:after="40"/>
        <w:ind w:firstLine="0"/>
        <w:jc w:val="left"/>
      </w:pPr>
      <w:r>
        <w:rPr>
          <w:rFonts w:ascii="Times New Roman" w:hAnsi="Times New Roman"/>
          <w:b/>
          <w:i/>
          <w:sz w:val="20"/>
        </w:rPr>
        <w:t>B. Architecture and the Trust Boundary</w:t>
      </w:r>
    </w:p>
    <w:p>
      <w:pPr>
        <w:spacing w:before="0" w:after="60"/>
        <w:ind w:firstLine="288"/>
        <w:jc w:val="both"/>
      </w:pPr>
      <w:r>
        <w:rPr>
          <w:rFonts w:ascii="Times New Roman" w:hAnsi="Times New Roman"/>
          <w:sz w:val="20"/>
        </w:rPr>
        <w:t xml:space="preserve">Fig. 1 shows the architecture as the contract sees it. A dashed trust boundary separates the </w:t>
      </w:r>
      <w:r>
        <w:rPr>
          <w:rFonts w:ascii="Times New Roman" w:hAnsi="Times New Roman"/>
          <w:i/>
          <w:sz w:val="20"/>
        </w:rPr>
        <w:t>deterministic side</w:t>
      </w:r>
      <w:r>
        <w:rPr>
          <w:rFonts w:ascii="Times New Roman" w:hAnsi="Times New Roman"/>
          <w:sz w:val="20"/>
        </w:rPr>
        <w:t xml:space="preserve"> (the pure-Python evidence producer, the evidence dictionary </w:t>
      </w:r>
      <w:r>
        <w:rPr>
          <w:rFonts w:ascii="Times New Roman" w:hAnsi="Times New Roman"/>
          <w:i/>
          <w:sz w:val="20"/>
        </w:rPr>
        <w:t>E</w:t>
      </w:r>
      <w:r>
        <w:rPr>
          <w:rFonts w:ascii="Times New Roman" w:hAnsi="Times New Roman"/>
          <w:sz w:val="20"/>
        </w:rPr>
        <w:t xml:space="preserve">, the Tier B verifier, and the user-facing output, all plain code) from the </w:t>
      </w:r>
      <w:r>
        <w:rPr>
          <w:rFonts w:ascii="Times New Roman" w:hAnsi="Times New Roman"/>
          <w:i/>
          <w:sz w:val="20"/>
        </w:rPr>
        <w:t>LLM narrator</w:t>
      </w:r>
      <w:r>
        <w:rPr>
          <w:rFonts w:ascii="Times New Roman" w:hAnsi="Times New Roman"/>
          <w:sz w:val="20"/>
        </w:rPr>
        <w:t xml:space="preserve">, which we treat as untrusted regardless of provider. Every arrow that crosses the boundary belongs to the contract: outbound, Tier A binds the tool-schema enums to </w:t>
      </w:r>
      <w:r>
        <w:rPr>
          <w:rFonts w:ascii="Times New Roman" w:hAnsi="Times New Roman"/>
          <w:i/>
          <w:sz w:val="20"/>
        </w:rPr>
        <w:t>E</w:t>
      </w:r>
      <w:r>
        <w:rPr>
          <w:rFonts w:ascii="Times New Roman" w:hAnsi="Times New Roman"/>
          <w:sz w:val="20"/>
        </w:rPr>
        <w:t xml:space="preserve"> at call time; inbound, the narrator's </w:t>
      </w:r>
      <w:r>
        <w:rPr>
          <w:rFonts w:ascii="Consolas" w:hAnsi="Consolas"/>
          <w:sz w:val="18"/>
        </w:rPr>
        <w:t>submit_investigation</w:t>
      </w:r>
      <w:r>
        <w:rPr>
          <w:rFonts w:ascii="Times New Roman" w:hAnsi="Times New Roman"/>
          <w:sz w:val="20"/>
        </w:rPr>
        <w:t xml:space="preserve"> output enters only through Tier B verification; on a violation, the corrective retry re-crosses the boundary with the offending items named. Nothing crosses unchecked. Inside mlcompass this boundary sits within a larger system: eleven pipeline tools exposed through a CLI, a tool-integration server [7], an autonomous agent, and editor slash commands, over a persistent project-context folder. Every surface routes through the same deterministic backend, so the contract guards the only path by which narrator output reaches a user. Because the evidence layer is deterministic and offline, every command also works without the narrator; the narrator adds explanation, and the contract makes that explanation safe.</w:t>
      </w:r>
    </w:p>
    <w:p>
      <w:pPr>
        <w:spacing w:before="120"/>
        <w:jc w:val="center"/>
      </w:pPr>
      <w:r>
        <w:drawing>
          <wp:inline xmlns:a="http://schemas.openxmlformats.org/drawingml/2006/main" xmlns:pic="http://schemas.openxmlformats.org/drawingml/2006/picture">
            <wp:extent cx="3017520" cy="1647259"/>
            <wp:docPr id="1" name="Picture 1"/>
            <wp:cNvGraphicFramePr>
              <a:graphicFrameLocks noChangeAspect="1"/>
            </wp:cNvGraphicFramePr>
            <a:graphic>
              <a:graphicData uri="http://schemas.openxmlformats.org/drawingml/2006/picture">
                <pic:pic>
                  <pic:nvPicPr>
                    <pic:cNvPr id="0" name="contract_boundary.png"/>
                    <pic:cNvPicPr/>
                  </pic:nvPicPr>
                  <pic:blipFill>
                    <a:blip r:embed="rId9"/>
                    <a:stretch>
                      <a:fillRect/>
                    </a:stretch>
                  </pic:blipFill>
                  <pic:spPr>
                    <a:xfrm>
                      <a:off x="0" y="0"/>
                      <a:ext cx="3017520" cy="1647259"/>
                    </a:xfrm>
                    <a:prstGeom prst="rect"/>
                  </pic:spPr>
                </pic:pic>
              </a:graphicData>
            </a:graphic>
          </wp:inline>
        </w:drawing>
      </w:r>
    </w:p>
    <w:p>
      <w:pPr>
        <w:spacing w:before="40" w:after="120"/>
        <w:ind w:firstLine="0"/>
        <w:jc w:val="both"/>
      </w:pPr>
      <w:r>
        <w:rPr>
          <w:rFonts w:ascii="Times New Roman" w:hAnsi="Times New Roman"/>
          <w:sz w:val="18"/>
        </w:rPr>
        <w:t>Fig. 1. The evidence-bound contract. The dashed line marks the trust boundary between the deterministic side (plain code, trusted) and the LLM narrator (untrusted). The deterministic layer emits the evidence dictionary E; Tier A binds the tool-schema enums to E at call time; Tier B deterministically verifies entity soundness, claim values, and completeness, with corrective retry, residual stripping, and omission flagging. Only validated citations and verified claims reach the user.</w:t>
      </w:r>
    </w:p>
    <w:p>
      <w:pPr>
        <w:spacing w:before="120" w:after="40"/>
        <w:ind w:firstLine="0"/>
        <w:jc w:val="left"/>
      </w:pPr>
      <w:r>
        <w:rPr>
          <w:rFonts w:ascii="Times New Roman" w:hAnsi="Times New Roman"/>
          <w:b/>
          <w:i/>
          <w:sz w:val="20"/>
        </w:rPr>
        <w:t>C. The Evidence-Bound Contract</w:t>
      </w:r>
    </w:p>
    <w:p>
      <w:pPr>
        <w:spacing w:before="0" w:after="60"/>
        <w:ind w:firstLine="288"/>
        <w:jc w:val="both"/>
      </w:pPr>
      <w:r>
        <w:rPr>
          <w:rFonts w:ascii="Times New Roman" w:hAnsi="Times New Roman"/>
          <w:sz w:val="20"/>
        </w:rPr>
        <w:t xml:space="preserve">We describe the contract through the automatic leakage investigation [17] triggered when an evaluation observes a suspicious metric (AUC &gt; 0.995, accuracy &gt; 0.99, or R² &gt; 0.999). The investigation is evidence-closed: the citable world is exactly the evidence dictionary </w:t>
      </w:r>
      <w:r>
        <w:rPr>
          <w:rFonts w:ascii="Times New Roman" w:hAnsi="Times New Roman"/>
          <w:i/>
          <w:sz w:val="20"/>
        </w:rPr>
        <w:t>E</w:t>
      </w:r>
      <w:r>
        <w:rPr>
          <w:rFonts w:ascii="Times New Roman" w:hAnsi="Times New Roman"/>
          <w:sz w:val="20"/>
        </w:rPr>
        <w:t>.</w:t>
      </w:r>
    </w:p>
    <w:p>
      <w:pPr>
        <w:spacing w:before="0" w:after="60"/>
        <w:ind w:firstLine="288"/>
        <w:jc w:val="both"/>
      </w:pPr>
      <w:r>
        <w:rPr>
          <w:rFonts w:ascii="Times New Roman" w:hAnsi="Times New Roman"/>
          <w:b/>
          <w:sz w:val="20"/>
        </w:rPr>
        <w:t>Layer 1: Deterministic evidence producer.</w:t>
      </w:r>
      <w:r>
        <w:rPr>
          <w:rFonts w:ascii="Times New Roman" w:hAnsi="Times New Roman"/>
          <w:sz w:val="20"/>
        </w:rPr>
        <w:t xml:space="preserve"> A pure-Python module reads the predictions table and emits </w:t>
      </w:r>
      <w:r>
        <w:rPr>
          <w:rFonts w:ascii="Times New Roman" w:hAnsi="Times New Roman"/>
          <w:i/>
          <w:sz w:val="20"/>
        </w:rPr>
        <w:t>E</w:t>
      </w:r>
      <w:r>
        <w:rPr>
          <w:rFonts w:ascii="Times New Roman" w:hAnsi="Times New Roman"/>
          <w:sz w:val="20"/>
        </w:rPr>
        <w:t xml:space="preserve">: the suspicious metric; per-feature correlations against the target </w:t>
      </w:r>
      <w:r>
        <w:rPr>
          <w:rFonts w:ascii="Times New Roman" w:hAnsi="Times New Roman"/>
          <w:i/>
          <w:sz w:val="20"/>
        </w:rPr>
        <w:t>y</w:t>
      </w:r>
      <w:r>
        <w:rPr>
          <w:rFonts w:ascii="Times New Roman" w:hAnsi="Times New Roman"/>
          <w:sz w:val="20"/>
        </w:rPr>
        <w:t xml:space="preserve">, reported as max(|ρ_P|, |ρ_S|); a candidate-leak set </w:t>
      </w:r>
      <w:r>
        <w:rPr>
          <w:rFonts w:ascii="Times New Roman" w:hAnsi="Times New Roman"/>
          <w:i/>
          <w:sz w:val="20"/>
        </w:rPr>
        <w:t>C</w:t>
      </w:r>
      <w:r>
        <w:rPr>
          <w:rFonts w:ascii="Times New Roman" w:hAnsi="Times New Roman"/>
          <w:sz w:val="20"/>
        </w:rPr>
        <w:t xml:space="preserve"> = { </w:t>
      </w:r>
      <w:r>
        <w:rPr>
          <w:rFonts w:ascii="Times New Roman" w:hAnsi="Times New Roman"/>
          <w:i/>
          <w:sz w:val="20"/>
        </w:rPr>
        <w:t>c</w:t>
      </w:r>
      <w:r>
        <w:rPr>
          <w:rFonts w:ascii="Times New Roman" w:hAnsi="Times New Roman"/>
          <w:sz w:val="20"/>
        </w:rPr>
        <w:t xml:space="preserve"> : max(|ρ_P(c, y)|, |ρ_S(c, y)|) ≥ 0.99 }, ranked; and the perfect-match rate P(ŷ = y). Spearman is reported alongside Pearson because monotone target transforms (log y, √y, αy + β) weaken ρ_P while leaving ρ_S = 1.0; a log-target leak at ρ_P ≈ 0.94 would otherwise slip a Pearson-only filter.</w:t>
      </w:r>
    </w:p>
    <w:p>
      <w:pPr>
        <w:spacing w:before="0" w:after="60"/>
        <w:ind w:firstLine="288"/>
        <w:jc w:val="both"/>
      </w:pPr>
      <w:r>
        <w:rPr>
          <w:rFonts w:ascii="Times New Roman" w:hAnsi="Times New Roman"/>
          <w:b/>
          <w:sz w:val="20"/>
        </w:rPr>
        <w:t>Layer 2: Strict-prompted narrator.</w:t>
      </w:r>
      <w:r>
        <w:rPr>
          <w:rFonts w:ascii="Times New Roman" w:hAnsi="Times New Roman"/>
          <w:sz w:val="20"/>
        </w:rPr>
        <w:t xml:space="preserve"> The narrator receives </w:t>
      </w:r>
      <w:r>
        <w:rPr>
          <w:rFonts w:ascii="Times New Roman" w:hAnsi="Times New Roman"/>
          <w:i/>
          <w:sz w:val="20"/>
        </w:rPr>
        <w:t>E</w:t>
      </w:r>
      <w:r>
        <w:rPr>
          <w:rFonts w:ascii="Times New Roman" w:hAnsi="Times New Roman"/>
          <w:sz w:val="20"/>
        </w:rPr>
        <w:t xml:space="preserve"> with a system prompt: cite only items in </w:t>
      </w:r>
      <w:r>
        <w:rPr>
          <w:rFonts w:ascii="Times New Roman" w:hAnsi="Times New Roman"/>
          <w:i/>
          <w:sz w:val="20"/>
        </w:rPr>
        <w:t>E</w:t>
      </w:r>
      <w:r>
        <w:rPr>
          <w:rFonts w:ascii="Times New Roman" w:hAnsi="Times New Roman"/>
          <w:sz w:val="20"/>
        </w:rPr>
        <w:t xml:space="preserve">; report every correlation number as a structured claim copied exactly from </w:t>
      </w:r>
      <w:r>
        <w:rPr>
          <w:rFonts w:ascii="Times New Roman" w:hAnsi="Times New Roman"/>
          <w:i/>
          <w:sz w:val="20"/>
        </w:rPr>
        <w:t>E</w:t>
      </w:r>
      <w:r>
        <w:rPr>
          <w:rFonts w:ascii="Times New Roman" w:hAnsi="Times New Roman"/>
          <w:sz w:val="20"/>
        </w:rPr>
        <w:t>; address the top-ranked candidate when committing to a verdict; abstain (</w:t>
      </w:r>
      <w:r>
        <w:rPr>
          <w:rFonts w:ascii="Consolas" w:hAnsi="Consolas"/>
          <w:sz w:val="18"/>
        </w:rPr>
        <w:t>cannot_determine</w:t>
      </w:r>
      <w:r>
        <w:rPr>
          <w:rFonts w:ascii="Times New Roman" w:hAnsi="Times New Roman"/>
          <w:sz w:val="20"/>
        </w:rPr>
        <w:t>) rather than guess.</w:t>
      </w:r>
    </w:p>
    <w:p>
      <w:pPr>
        <w:spacing w:before="0" w:after="60"/>
        <w:ind w:firstLine="288"/>
        <w:jc w:val="both"/>
      </w:pPr>
      <w:r>
        <w:rPr>
          <w:rFonts w:ascii="Times New Roman" w:hAnsi="Times New Roman"/>
          <w:b/>
          <w:sz w:val="20"/>
        </w:rPr>
        <w:t>Layer 3: Evidence-bound runtime schema (two tiers).</w:t>
      </w:r>
      <w:r>
        <w:rPr>
          <w:rFonts w:ascii="Times New Roman" w:hAnsi="Times New Roman"/>
          <w:sz w:val="20"/>
        </w:rPr>
        <w:t xml:space="preserve"> The narrator answers through a </w:t>
      </w:r>
      <w:r>
        <w:rPr>
          <w:rFonts w:ascii="Consolas" w:hAnsi="Consolas"/>
          <w:sz w:val="18"/>
        </w:rPr>
        <w:t>submit_investigation</w:t>
      </w:r>
      <w:r>
        <w:rPr>
          <w:rFonts w:ascii="Times New Roman" w:hAnsi="Times New Roman"/>
          <w:sz w:val="20"/>
        </w:rPr>
        <w:t xml:space="preserve"> tool. </w:t>
      </w:r>
      <w:r>
        <w:rPr>
          <w:rFonts w:ascii="Times New Roman" w:hAnsi="Times New Roman"/>
          <w:i/>
          <w:sz w:val="20"/>
        </w:rPr>
        <w:t>Tier A:</w:t>
      </w:r>
      <w:r>
        <w:rPr>
          <w:rFonts w:ascii="Times New Roman" w:hAnsi="Times New Roman"/>
          <w:sz w:val="20"/>
        </w:rPr>
        <w:t xml:space="preserve"> the tool's </w:t>
      </w:r>
      <w:r>
        <w:rPr>
          <w:rFonts w:ascii="Consolas" w:hAnsi="Consolas"/>
          <w:sz w:val="18"/>
        </w:rPr>
        <w:t>columns_referenced</w:t>
      </w:r>
      <w:r>
        <w:rPr>
          <w:rFonts w:ascii="Times New Roman" w:hAnsi="Times New Roman"/>
          <w:sz w:val="20"/>
        </w:rPr>
        <w:t xml:space="preserve"> items and </w:t>
      </w:r>
      <w:r>
        <w:rPr>
          <w:rFonts w:ascii="Consolas" w:hAnsi="Consolas"/>
          <w:sz w:val="18"/>
        </w:rPr>
        <w:t>claims[].column</w:t>
      </w:r>
      <w:r>
        <w:rPr>
          <w:rFonts w:ascii="Times New Roman" w:hAnsi="Times New Roman"/>
          <w:sz w:val="20"/>
        </w:rPr>
        <w:t xml:space="preserve"> field are restricted by JSON-schema </w:t>
      </w:r>
      <w:r>
        <w:rPr>
          <w:rFonts w:ascii="Consolas" w:hAnsi="Consolas"/>
          <w:sz w:val="18"/>
        </w:rPr>
        <w:t>enum</w:t>
      </w:r>
      <w:r>
        <w:rPr>
          <w:rFonts w:ascii="Times New Roman" w:hAnsi="Times New Roman"/>
          <w:sz w:val="20"/>
        </w:rPr>
        <w:t xml:space="preserve">s generated at call time from </w:t>
      </w:r>
      <w:r>
        <w:rPr>
          <w:rFonts w:ascii="Times New Roman" w:hAnsi="Times New Roman"/>
          <w:i/>
          <w:sz w:val="20"/>
        </w:rPr>
        <w:t>E</w:t>
      </w:r>
      <w:r>
        <w:rPr>
          <w:rFonts w:ascii="Times New Roman" w:hAnsi="Times New Roman"/>
          <w:sz w:val="20"/>
        </w:rPr>
        <w:t xml:space="preserve">. </w:t>
      </w:r>
      <w:r>
        <w:rPr>
          <w:rFonts w:ascii="Times New Roman" w:hAnsi="Times New Roman"/>
          <w:i/>
          <w:sz w:val="20"/>
        </w:rPr>
        <w:t>Tier B:</w:t>
      </w:r>
      <w:r>
        <w:rPr>
          <w:rFonts w:ascii="Times New Roman" w:hAnsi="Times New Roman"/>
          <w:sz w:val="20"/>
        </w:rPr>
        <w:t xml:space="preserve"> when the tool input returns, plain code verifies, without trusting the provider, (1) </w:t>
      </w:r>
      <w:r>
        <w:rPr>
          <w:rFonts w:ascii="Times New Roman" w:hAnsi="Times New Roman"/>
          <w:b/>
          <w:sz w:val="20"/>
        </w:rPr>
        <w:t>entity soundness</w:t>
      </w:r>
      <w:r>
        <w:rPr>
          <w:rFonts w:ascii="Times New Roman" w:hAnsi="Times New Roman"/>
          <w:sz w:val="20"/>
        </w:rPr>
        <w:t xml:space="preserve">: every column cited or claimed is in the evidence set; (2) </w:t>
      </w:r>
      <w:r>
        <w:rPr>
          <w:rFonts w:ascii="Times New Roman" w:hAnsi="Times New Roman"/>
          <w:b/>
          <w:sz w:val="20"/>
        </w:rPr>
        <w:t>value soundness</w:t>
      </w:r>
      <w:r>
        <w:rPr>
          <w:rFonts w:ascii="Times New Roman" w:hAnsi="Times New Roman"/>
          <w:sz w:val="20"/>
        </w:rPr>
        <w:t xml:space="preserve">: every claim </w:t>
      </w:r>
      <w:r>
        <w:rPr>
          <w:rFonts w:ascii="Consolas" w:hAnsi="Consolas"/>
          <w:sz w:val="18"/>
        </w:rPr>
        <w:t>{column, statistic, value}</w:t>
      </w:r>
      <w:r>
        <w:rPr>
          <w:rFonts w:ascii="Times New Roman" w:hAnsi="Times New Roman"/>
          <w:sz w:val="20"/>
        </w:rPr>
        <w:t xml:space="preserve"> matches the measured value within 0.005 (two-decimal rounding passes, misquotes fail); (3) </w:t>
      </w:r>
      <w:r>
        <w:rPr>
          <w:rFonts w:ascii="Times New Roman" w:hAnsi="Times New Roman"/>
          <w:b/>
          <w:sz w:val="20"/>
        </w:rPr>
        <w:t>completeness</w:t>
      </w:r>
      <w:r>
        <w:rPr>
          <w:rFonts w:ascii="Times New Roman" w:hAnsi="Times New Roman"/>
          <w:sz w:val="20"/>
        </w:rPr>
        <w:t xml:space="preserve">: a verdict other than </w:t>
      </w:r>
      <w:r>
        <w:rPr>
          <w:rFonts w:ascii="Consolas" w:hAnsi="Consolas"/>
          <w:sz w:val="18"/>
        </w:rPr>
        <w:t>cannot_determine</w:t>
      </w:r>
      <w:r>
        <w:rPr>
          <w:rFonts w:ascii="Times New Roman" w:hAnsi="Times New Roman"/>
          <w:sz w:val="20"/>
        </w:rPr>
        <w:t xml:space="preserve"> must address the top-ranked candidate (explicit abstention is not an omission). Violations trigger a corrective retry naming the offending items (budget 2); residual unsound entities/claims are </w:t>
      </w:r>
      <w:r>
        <w:rPr>
          <w:rFonts w:ascii="Times New Roman" w:hAnsi="Times New Roman"/>
          <w:i/>
          <w:sz w:val="20"/>
        </w:rPr>
        <w:t>stripped</w:t>
      </w:r>
      <w:r>
        <w:rPr>
          <w:rFonts w:ascii="Times New Roman" w:hAnsi="Times New Roman"/>
          <w:sz w:val="20"/>
        </w:rPr>
        <w:t xml:space="preserve">; a persistent omission is </w:t>
      </w:r>
      <w:r>
        <w:rPr>
          <w:rFonts w:ascii="Times New Roman" w:hAnsi="Times New Roman"/>
          <w:i/>
          <w:sz w:val="20"/>
        </w:rPr>
        <w:t>flagged</w:t>
      </w:r>
      <w:r>
        <w:rPr>
          <w:rFonts w:ascii="Times New Roman" w:hAnsi="Times New Roman"/>
          <w:sz w:val="20"/>
        </w:rPr>
        <w:t>; completeness is then re-checked after stripping, since removing an unsound claim can itself orphan the anchor.</w:t>
      </w:r>
    </w:p>
    <w:p>
      <w:pPr>
        <w:spacing w:before="0" w:after="60"/>
        <w:ind w:firstLine="288"/>
        <w:jc w:val="both"/>
      </w:pPr>
      <w:r>
        <w:rPr>
          <w:rFonts w:ascii="Times New Roman" w:hAnsi="Times New Roman"/>
          <w:sz w:val="20"/>
        </w:rPr>
        <w:t>The asymmetric handling (strip vs. flag) is not an engineering preference but a structural necessity. We record it in two propositions; both are near-definitional, stated because the design leans on them:</w:t>
      </w:r>
    </w:p>
    <w:p>
      <w:pPr>
        <w:spacing w:before="80" w:after="80"/>
        <w:ind w:firstLine="0" w:left="173" w:right="72"/>
        <w:jc w:val="both"/>
      </w:pPr>
      <w:r>
        <w:rPr>
          <w:rFonts w:ascii="Times New Roman" w:hAnsi="Times New Roman"/>
          <w:b/>
          <w:sz w:val="20"/>
        </w:rPr>
        <w:t>Proposition 1 (linear-time verification).</w:t>
      </w:r>
      <w:r>
        <w:rPr>
          <w:rFonts w:ascii="Times New Roman" w:hAnsi="Times New Roman"/>
          <w:sz w:val="20"/>
        </w:rPr>
        <w:t xml:space="preserve"> </w:t>
      </w:r>
      <w:r>
        <w:rPr>
          <w:rFonts w:ascii="Times New Roman" w:hAnsi="Times New Roman"/>
          <w:i/>
          <w:sz w:val="20"/>
        </w:rPr>
        <w:t>Let E define a finite entity set A_E (|A_E| = m) and a claim table V_E. Deciding faithfulness of a structured response r (entity membership, value tolerance, anchor coverage) takes O(|r|) expected time after O(m) preprocessing.</w:t>
      </w:r>
      <w:r>
        <w:rPr>
          <w:rFonts w:ascii="Times New Roman" w:hAnsi="Times New Roman"/>
          <w:sz w:val="20"/>
        </w:rPr>
        <w:t xml:space="preserve"> </w:t>
      </w:r>
      <w:r>
        <w:rPr>
          <w:rFonts w:ascii="Times New Roman" w:hAnsi="Times New Roman"/>
          <w:b/>
          <w:sz w:val="20"/>
        </w:rPr>
        <w:t>Proof.</w:t>
      </w:r>
      <w:r>
        <w:rPr>
          <w:rFonts w:ascii="Times New Roman" w:hAnsi="Times New Roman"/>
          <w:sz w:val="20"/>
        </w:rPr>
        <w:t xml:space="preserve"> Hash A_E and V_E once; entity soundness is |r| membership tests, value soundness one lookup and one comparison per claim, completeness one membership test. ∎</w:t>
      </w:r>
    </w:p>
    <w:p>
      <w:pPr>
        <w:spacing w:before="80" w:after="80"/>
        <w:ind w:firstLine="0" w:left="173" w:right="72"/>
        <w:jc w:val="both"/>
      </w:pPr>
      <w:r>
        <w:rPr>
          <w:rFonts w:ascii="Times New Roman" w:hAnsi="Times New Roman"/>
          <w:b/>
          <w:sz w:val="20"/>
        </w:rPr>
        <w:t>Proposition 2 (repair asymmetry).</w:t>
      </w:r>
      <w:r>
        <w:rPr>
          <w:rFonts w:ascii="Times New Roman" w:hAnsi="Times New Roman"/>
          <w:sz w:val="20"/>
        </w:rPr>
        <w:t xml:space="preserve"> </w:t>
      </w:r>
      <w:r>
        <w:rPr>
          <w:rFonts w:ascii="Times New Roman" w:hAnsi="Times New Roman"/>
          <w:i/>
          <w:sz w:val="20"/>
        </w:rPr>
        <w:t>Call a repair</w:t>
      </w:r>
      <w:r>
        <w:rPr>
          <w:rFonts w:ascii="Times New Roman" w:hAnsi="Times New Roman"/>
          <w:sz w:val="20"/>
        </w:rPr>
        <w:t xml:space="preserve"> safe </w:t>
      </w:r>
      <w:r>
        <w:rPr>
          <w:rFonts w:ascii="Times New Roman" w:hAnsi="Times New Roman"/>
          <w:i/>
          <w:sz w:val="20"/>
        </w:rPr>
        <w:t>if it only deletes content: deletion never attributes new content to the narrator. Soundness is safe-repairable: the projection Π_E(r) that deletes out-of-evidence entities and out-of-tolerance claims lands in the sound set for every r and is the identity on sound responses. Completeness is not safe-repairable: it is an existential requirement, and any repair must add a reference the model did not produce; the repair itself would fabricate attribution. Deleting the committed verdict is no escape: the schema requires a verdict field, and substituting an abstention attributes an epistemic stance the model did not take, which is likewise unsafe.</w:t>
      </w:r>
      <w:r>
        <w:rPr>
          <w:rFonts w:ascii="Times New Roman" w:hAnsi="Times New Roman"/>
          <w:sz w:val="20"/>
        </w:rPr>
        <w:t xml:space="preserve"> </w:t>
      </w:r>
      <w:r>
        <w:rPr>
          <w:rFonts w:ascii="Times New Roman" w:hAnsi="Times New Roman"/>
          <w:b/>
          <w:sz w:val="20"/>
        </w:rPr>
        <w:t>Consequence.</w:t>
      </w:r>
      <w:r>
        <w:rPr>
          <w:rFonts w:ascii="Times New Roman" w:hAnsi="Times New Roman"/>
          <w:sz w:val="20"/>
        </w:rPr>
        <w:t xml:space="preserve"> A contract can </w:t>
      </w:r>
      <w:r>
        <w:rPr>
          <w:rFonts w:ascii="Times New Roman" w:hAnsi="Times New Roman"/>
          <w:i/>
          <w:sz w:val="20"/>
        </w:rPr>
        <w:t>enforce</w:t>
      </w:r>
      <w:r>
        <w:rPr>
          <w:rFonts w:ascii="Times New Roman" w:hAnsi="Times New Roman"/>
          <w:sz w:val="20"/>
        </w:rPr>
        <w:t xml:space="preserve"> soundness by construction (strip) but can only </w:t>
      </w:r>
      <w:r>
        <w:rPr>
          <w:rFonts w:ascii="Times New Roman" w:hAnsi="Times New Roman"/>
          <w:i/>
          <w:sz w:val="20"/>
        </w:rPr>
        <w:t>detect, re-prompt, and flag</w:t>
      </w:r>
      <w:r>
        <w:rPr>
          <w:rFonts w:ascii="Times New Roman" w:hAnsi="Times New Roman"/>
          <w:sz w:val="20"/>
        </w:rPr>
        <w:t xml:space="preserve"> incompleteness. ∎</w:t>
      </w:r>
    </w:p>
    <w:p>
      <w:pPr>
        <w:spacing w:before="0" w:after="60"/>
        <w:ind w:firstLine="288"/>
        <w:jc w:val="both"/>
      </w:pPr>
      <w:r>
        <w:rPr>
          <w:rFonts w:ascii="Times New Roman" w:hAnsi="Times New Roman"/>
          <w:sz w:val="20"/>
        </w:rPr>
        <w:t xml:space="preserve">The resulting invariant: </w:t>
      </w:r>
      <w:r>
        <w:rPr>
          <w:rFonts w:ascii="Times New Roman" w:hAnsi="Times New Roman"/>
          <w:i/>
          <w:sz w:val="20"/>
        </w:rPr>
        <w:t>for any response the contract returns, every cited entity and every quantitative claim is present in, and equal to, the deterministic evidence, by construction, independent of the provider.</w:t>
      </w:r>
      <w:r>
        <w:rPr>
          <w:rFonts w:ascii="Times New Roman" w:hAnsi="Times New Roman"/>
          <w:sz w:val="20"/>
        </w:rPr>
        <w:t xml:space="preserve"> The simplicity of each check (membership, comparison, anchor) is exactly what decidability buys, and why the guarantee can be absolute where decoding-time methods [8], [10] cannot even be applied behind commercial APIs.</w:t>
      </w:r>
    </w:p>
    <w:p>
      <w:pPr>
        <w:spacing w:before="160" w:after="80"/>
        <w:ind w:firstLine="0"/>
        <w:jc w:val="center"/>
      </w:pPr>
      <w:r>
        <w:rPr>
          <w:rFonts w:ascii="Times New Roman" w:hAnsi="Times New Roman"/>
          <w:b/>
          <w:sz w:val="20"/>
        </w:rPr>
        <w:t>IV. EXPERIMENTS</w:t>
      </w:r>
    </w:p>
    <w:p>
      <w:pPr>
        <w:spacing w:before="120" w:after="40"/>
        <w:ind w:firstLine="0"/>
        <w:jc w:val="left"/>
      </w:pPr>
      <w:r>
        <w:rPr>
          <w:rFonts w:ascii="Times New Roman" w:hAnsi="Times New Roman"/>
          <w:b/>
          <w:i/>
          <w:sz w:val="20"/>
        </w:rPr>
        <w:t>A. Setup</w:t>
      </w:r>
    </w:p>
    <w:p>
      <w:pPr>
        <w:spacing w:before="0" w:after="60"/>
        <w:ind w:firstLine="288"/>
        <w:jc w:val="both"/>
      </w:pPr>
      <w:r>
        <w:rPr>
          <w:rFonts w:ascii="Times New Roman" w:hAnsi="Times New Roman"/>
          <w:b/>
          <w:sz w:val="20"/>
        </w:rPr>
        <w:t>Tasks.</w:t>
      </w:r>
      <w:r>
        <w:rPr>
          <w:rFonts w:ascii="Times New Roman" w:hAnsi="Times New Roman"/>
          <w:sz w:val="20"/>
        </w:rPr>
        <w:t xml:space="preserve"> </w:t>
      </w:r>
      <w:r>
        <w:rPr>
          <w:rFonts w:ascii="Times New Roman" w:hAnsi="Times New Roman"/>
          <w:i/>
          <w:sz w:val="20"/>
        </w:rPr>
        <w:t>Synthetic:</w:t>
      </w:r>
      <w:r>
        <w:rPr>
          <w:rFonts w:ascii="Times New Roman" w:hAnsi="Times New Roman"/>
          <w:sz w:val="20"/>
        </w:rPr>
        <w:t xml:space="preserve"> a 1,000 × 12 regression frame with a monotone transformed leak (</w:t>
      </w:r>
      <w:r>
        <w:rPr>
          <w:rFonts w:ascii="Consolas" w:hAnsi="Consolas"/>
          <w:sz w:val="18"/>
        </w:rPr>
        <w:t>log_target_v2 = log(y) + 𝒩(0, 0.01²)</w:t>
      </w:r>
      <w:r>
        <w:rPr>
          <w:rFonts w:ascii="Times New Roman" w:hAnsi="Times New Roman"/>
          <w:sz w:val="20"/>
        </w:rPr>
        <w:t xml:space="preserve">) and a high-correlation distractor; 10 evidence columns, anchor </w:t>
      </w:r>
      <w:r>
        <w:rPr>
          <w:rFonts w:ascii="Consolas" w:hAnsi="Consolas"/>
          <w:sz w:val="18"/>
        </w:rPr>
        <w:t>log_target_v2</w:t>
      </w:r>
      <w:r>
        <w:rPr>
          <w:rFonts w:ascii="Times New Roman" w:hAnsi="Times New Roman"/>
          <w:sz w:val="20"/>
        </w:rPr>
        <w:t xml:space="preserve">. </w:t>
      </w:r>
      <w:r>
        <w:rPr>
          <w:rFonts w:ascii="Times New Roman" w:hAnsi="Times New Roman"/>
          <w:i/>
          <w:sz w:val="20"/>
        </w:rPr>
        <w:t>Real-data:</w:t>
      </w:r>
      <w:r>
        <w:rPr>
          <w:rFonts w:ascii="Times New Roman" w:hAnsi="Times New Roman"/>
          <w:sz w:val="20"/>
        </w:rPr>
        <w:t xml:space="preserve"> the public Insurance Charges dataset with an injected log-of-target leak and near-perfect predictions; external column names, distributions, and shape; 7 evidence columns, anchor </w:t>
      </w:r>
      <w:r>
        <w:rPr>
          <w:rFonts w:ascii="Consolas" w:hAnsi="Consolas"/>
          <w:sz w:val="18"/>
        </w:rPr>
        <w:t>log_charges_leak</w:t>
      </w:r>
      <w:r>
        <w:rPr>
          <w:rFonts w:ascii="Times New Roman" w:hAnsi="Times New Roman"/>
          <w:sz w:val="20"/>
        </w:rPr>
        <w:t xml:space="preserve">. In both, a model essentially copies the leak and the </w:t>
      </w:r>
      <w:r>
        <w:rPr>
          <w:rFonts w:ascii="Times New Roman" w:hAnsi="Times New Roman"/>
          <w:i/>
          <w:sz w:val="20"/>
        </w:rPr>
        <w:t>shipped</w:t>
      </w:r>
      <w:r>
        <w:rPr>
          <w:rFonts w:ascii="Times New Roman" w:hAnsi="Times New Roman"/>
          <w:sz w:val="20"/>
        </w:rPr>
        <w:t xml:space="preserve"> </w:t>
      </w:r>
      <w:r>
        <w:rPr>
          <w:rFonts w:ascii="Consolas" w:hAnsi="Consolas"/>
          <w:sz w:val="18"/>
        </w:rPr>
        <w:t>detect_leakage</w:t>
      </w:r>
      <w:r>
        <w:rPr>
          <w:rFonts w:ascii="Times New Roman" w:hAnsi="Times New Roman"/>
          <w:sz w:val="20"/>
        </w:rPr>
        <w:t xml:space="preserve"> produces the evidence, so the experiment narrates the exact evidence shape the product surfaces.</w:t>
      </w:r>
    </w:p>
    <w:p>
      <w:pPr>
        <w:spacing w:before="0" w:after="60"/>
        <w:ind w:firstLine="288"/>
        <w:jc w:val="both"/>
      </w:pPr>
      <w:r>
        <w:rPr>
          <w:rFonts w:ascii="Times New Roman" w:hAnsi="Times New Roman"/>
          <w:b/>
          <w:sz w:val="20"/>
        </w:rPr>
        <w:t>Configurations (per task, N = 200 each).</w:t>
      </w:r>
      <w:r>
        <w:rPr>
          <w:rFonts w:ascii="Times New Roman" w:hAnsi="Times New Roman"/>
          <w:sz w:val="20"/>
        </w:rPr>
        <w:t xml:space="preserve"> </w:t>
      </w:r>
      <w:r>
        <w:rPr>
          <w:rFonts w:ascii="Times New Roman" w:hAnsi="Times New Roman"/>
          <w:i/>
          <w:sz w:val="20"/>
        </w:rPr>
        <w:t>L1:</w:t>
      </w:r>
      <w:r>
        <w:rPr>
          <w:rFonts w:ascii="Times New Roman" w:hAnsi="Times New Roman"/>
          <w:sz w:val="20"/>
        </w:rPr>
        <w:t xml:space="preserve"> bare prompt (requests the structured fields, states no faithfulness rule), open tool schema, no verification. </w:t>
      </w:r>
      <w:r>
        <w:rPr>
          <w:rFonts w:ascii="Times New Roman" w:hAnsi="Times New Roman"/>
          <w:i/>
          <w:sz w:val="20"/>
        </w:rPr>
        <w:t>L2:</w:t>
      </w:r>
      <w:r>
        <w:rPr>
          <w:rFonts w:ascii="Times New Roman" w:hAnsi="Times New Roman"/>
          <w:sz w:val="20"/>
        </w:rPr>
        <w:t xml:space="preserve"> the strict prompt, still unenforced. </w:t>
      </w:r>
      <w:r>
        <w:rPr>
          <w:rFonts w:ascii="Times New Roman" w:hAnsi="Times New Roman"/>
          <w:i/>
          <w:sz w:val="20"/>
        </w:rPr>
        <w:t>L3:</w:t>
      </w:r>
      <w:r>
        <w:rPr>
          <w:rFonts w:ascii="Times New Roman" w:hAnsi="Times New Roman"/>
          <w:sz w:val="20"/>
        </w:rPr>
        <w:t xml:space="preserve"> the full shipped contract (</w:t>
      </w:r>
      <w:r>
        <w:rPr>
          <w:rFonts w:ascii="Consolas" w:hAnsi="Consolas"/>
          <w:sz w:val="18"/>
        </w:rPr>
        <w:t>investigate_leakage_bound</w:t>
      </w:r>
      <w:r>
        <w:rPr>
          <w:rFonts w:ascii="Times New Roman" w:hAnsi="Times New Roman"/>
          <w:sz w:val="20"/>
        </w:rPr>
        <w:t xml:space="preserve">). </w:t>
      </w:r>
      <w:r>
        <w:rPr>
          <w:rFonts w:ascii="Times New Roman" w:hAnsi="Times New Roman"/>
          <w:i/>
          <w:sz w:val="20"/>
        </w:rPr>
        <w:t>STRESS:</w:t>
      </w:r>
      <w:r>
        <w:rPr>
          <w:rFonts w:ascii="Times New Roman" w:hAnsi="Times New Roman"/>
          <w:sz w:val="20"/>
        </w:rPr>
        <w:t xml:space="preserve"> the same shipped contract with the bare prompt and Tier A enums removed, so the narrator fabricates at its natural rate and every Tier B catch is observable. All runs use DeepSeek's </w:t>
      </w:r>
      <w:r>
        <w:rPr>
          <w:rFonts w:ascii="Consolas" w:hAnsi="Consolas"/>
          <w:sz w:val="18"/>
        </w:rPr>
        <w:t>deepseek-chat</w:t>
      </w:r>
      <w:r>
        <w:rPr>
          <w:rFonts w:ascii="Times New Roman" w:hAnsi="Times New Roman"/>
          <w:sz w:val="20"/>
        </w:rPr>
        <w:t xml:space="preserve"> endpoint (OpenAI-compatible JSON-schema tool use, provider-default sampling; the name is a rolling model alias, so run dates and the harness commit pin the configuration). The provider does not document decode-time enum enforcement, and Tier B does not rely on it; our arms do not isolate Tier A's marginal contribution (Sec. V-E). Prompts, seeds, the harness, and all raw run records are in the public repository.</w:t>
      </w:r>
    </w:p>
    <w:p>
      <w:pPr>
        <w:spacing w:before="0" w:after="60"/>
        <w:ind w:firstLine="288"/>
        <w:jc w:val="both"/>
      </w:pPr>
      <w:r>
        <w:rPr>
          <w:rFonts w:ascii="Times New Roman" w:hAnsi="Times New Roman"/>
          <w:b/>
          <w:sz w:val="20"/>
        </w:rPr>
        <w:t>Paraphrase sweep.</w:t>
      </w:r>
      <w:r>
        <w:rPr>
          <w:rFonts w:ascii="Times New Roman" w:hAnsi="Times New Roman"/>
          <w:sz w:val="20"/>
        </w:rPr>
        <w:t xml:space="preserve"> Six rule-free paraphrases of the bare instruction (terse, baseline, helpful, expert, mechanical, cautious), N = 100 each, same evidence and tool schema; only the wording varies.</w:t>
      </w:r>
    </w:p>
    <w:p>
      <w:pPr>
        <w:spacing w:before="120" w:after="40"/>
        <w:ind w:firstLine="0"/>
        <w:jc w:val="left"/>
      </w:pPr>
      <w:r>
        <w:rPr>
          <w:rFonts w:ascii="Times New Roman" w:hAnsi="Times New Roman"/>
          <w:b/>
          <w:i/>
          <w:sz w:val="20"/>
        </w:rPr>
        <w:t>B. Metrics</w:t>
      </w:r>
    </w:p>
    <w:p>
      <w:pPr>
        <w:spacing w:before="0" w:after="60"/>
        <w:ind w:firstLine="288"/>
        <w:jc w:val="both"/>
      </w:pPr>
      <w:r>
        <w:rPr>
          <w:rFonts w:ascii="Times New Roman" w:hAnsi="Times New Roman"/>
          <w:sz w:val="20"/>
        </w:rPr>
        <w:t xml:space="preserve">Per response that reaches the user: </w:t>
      </w:r>
      <w:r>
        <w:rPr>
          <w:rFonts w:ascii="Times New Roman" w:hAnsi="Times New Roman"/>
          <w:b/>
          <w:sz w:val="20"/>
        </w:rPr>
        <w:t>entity-fabrication</w:t>
      </w:r>
      <w:r>
        <w:rPr>
          <w:rFonts w:ascii="Times New Roman" w:hAnsi="Times New Roman"/>
          <w:sz w:val="20"/>
        </w:rPr>
        <w:t xml:space="preserve"> (≥ 1 column, cited or claimed, outside </w:t>
      </w:r>
      <w:r>
        <w:rPr>
          <w:rFonts w:ascii="Times New Roman" w:hAnsi="Times New Roman"/>
          <w:i/>
          <w:sz w:val="20"/>
        </w:rPr>
        <w:t>E</w:t>
      </w:r>
      <w:r>
        <w:rPr>
          <w:rFonts w:ascii="Times New Roman" w:hAnsi="Times New Roman"/>
          <w:sz w:val="20"/>
        </w:rPr>
        <w:t xml:space="preserve">); </w:t>
      </w:r>
      <w:r>
        <w:rPr>
          <w:rFonts w:ascii="Times New Roman" w:hAnsi="Times New Roman"/>
          <w:b/>
          <w:sz w:val="20"/>
        </w:rPr>
        <w:t>value-fabrication</w:t>
      </w:r>
      <w:r>
        <w:rPr>
          <w:rFonts w:ascii="Times New Roman" w:hAnsi="Times New Roman"/>
          <w:sz w:val="20"/>
        </w:rPr>
        <w:t xml:space="preserve"> (≥ 1 claim whose column is in </w:t>
      </w:r>
      <w:r>
        <w:rPr>
          <w:rFonts w:ascii="Times New Roman" w:hAnsi="Times New Roman"/>
          <w:i/>
          <w:sz w:val="20"/>
        </w:rPr>
        <w:t>E</w:t>
      </w:r>
      <w:r>
        <w:rPr>
          <w:rFonts w:ascii="Times New Roman" w:hAnsi="Times New Roman"/>
          <w:sz w:val="20"/>
        </w:rPr>
        <w:t xml:space="preserve"> but whose value misses by &gt; 0.005); </w:t>
      </w:r>
      <w:r>
        <w:rPr>
          <w:rFonts w:ascii="Times New Roman" w:hAnsi="Times New Roman"/>
          <w:b/>
          <w:sz w:val="20"/>
        </w:rPr>
        <w:t>critical omission</w:t>
      </w:r>
      <w:r>
        <w:rPr>
          <w:rFonts w:ascii="Times New Roman" w:hAnsi="Times New Roman"/>
          <w:sz w:val="20"/>
        </w:rPr>
        <w:t xml:space="preserve"> (committed verdict that never references the anchor). Wilson 95% CIs and raw k/N throughout. For contract arms we additionally report </w:t>
      </w:r>
      <w:r>
        <w:rPr>
          <w:rFonts w:ascii="Times New Roman" w:hAnsi="Times New Roman"/>
          <w:b/>
          <w:sz w:val="20"/>
        </w:rPr>
        <w:t>Tier B catches</w:t>
      </w:r>
      <w:r>
        <w:rPr>
          <w:rFonts w:ascii="Times New Roman" w:hAnsi="Times New Roman"/>
          <w:sz w:val="20"/>
        </w:rPr>
        <w:t>: responses with ≥ 1 deterministic rejection, and total rejections.</w:t>
      </w:r>
    </w:p>
    <w:p>
      <w:pPr>
        <w:spacing w:before="120" w:after="40"/>
        <w:ind w:firstLine="0"/>
        <w:jc w:val="left"/>
      </w:pPr>
      <w:r>
        <w:rPr>
          <w:rFonts w:ascii="Times New Roman" w:hAnsi="Times New Roman"/>
          <w:b/>
          <w:i/>
          <w:sz w:val="20"/>
        </w:rPr>
        <w:t>C. Results</w:t>
      </w:r>
    </w:p>
    <w:p>
      <w:pPr>
        <w:spacing w:before="120" w:after="60"/>
        <w:ind w:firstLine="0"/>
        <w:jc w:val="center"/>
      </w:pPr>
      <w:r>
        <w:rPr>
          <w:rFonts w:ascii="Times New Roman" w:hAnsi="Times New Roman"/>
          <w:b w:val="0"/>
          <w:sz w:val="18"/>
        </w:rPr>
        <w:t>TABLE I. USER-FACING ENTITY-FABRICATION RATE (LIVE, N = 200 PER CELL, WILSON 95% CI IN TEXT)</w:t>
      </w:r>
    </w:p>
    <w:tbl>
      <w:tblPr>
        <w:tblStyle w:val="TableGrid"/>
        <w:tblW w:type="auto" w:w="0"/>
        <w:jc w:val="center"/>
        <w:tblLook w:firstColumn="1" w:firstRow="1" w:lastColumn="0" w:lastRow="0" w:noHBand="0" w:noVBand="1" w:val="04A0"/>
        <w:tblBorders>
          <w:top w:val="single" w:sz="8" w:color="000000"/>
          <w:bottom w:val="single" w:sz="8" w:color="000000"/>
          <w:left w:val="nil"/>
          <w:right w:val="nil"/>
          <w:insideV w:val="nil"/>
          <w:insideH w:val="nil"/>
        </w:tblBorders>
      </w:tblPr>
      <w:tblGrid>
        <w:gridCol w:w="3360"/>
        <w:gridCol w:w="3360"/>
        <w:gridCol w:w="3360"/>
      </w:tblGrid>
      <w:tr>
        <w:tc>
          <w:tcPr>
            <w:tcW w:type="dxa" w:w="3360"/>
            <w:vAlign w:val="center"/>
            <w:tcBorders>
              <w:bottom w:val="single" w:sz="6" w:color="000000"/>
            </w:tcBorders>
          </w:tcPr>
          <w:p>
            <w:pPr>
              <w:spacing w:after="0"/>
              <w:ind w:firstLine="0"/>
              <w:jc w:val="left"/>
            </w:pPr>
            <w:r>
              <w:rPr>
                <w:b/>
                <w:sz w:val="18"/>
              </w:rPr>
            </w:r>
            <w:r>
              <w:rPr>
                <w:rFonts w:ascii="Times New Roman" w:hAnsi="Times New Roman"/>
                <w:b/>
                <w:sz w:val="18"/>
              </w:rPr>
              <w:t>Configuration</w:t>
            </w:r>
          </w:p>
        </w:tc>
        <w:tc>
          <w:tcPr>
            <w:tcW w:type="dxa" w:w="3360"/>
            <w:vAlign w:val="center"/>
            <w:tcBorders>
              <w:bottom w:val="single" w:sz="6" w:color="000000"/>
            </w:tcBorders>
          </w:tcPr>
          <w:p>
            <w:pPr>
              <w:spacing w:after="0"/>
              <w:ind w:firstLine="0"/>
              <w:jc w:val="center"/>
            </w:pPr>
            <w:r>
              <w:rPr>
                <w:b/>
                <w:sz w:val="18"/>
              </w:rPr>
            </w:r>
            <w:r>
              <w:rPr>
                <w:rFonts w:ascii="Times New Roman" w:hAnsi="Times New Roman"/>
                <w:b/>
                <w:sz w:val="18"/>
              </w:rPr>
              <w:t>Synthetic</w:t>
            </w:r>
          </w:p>
        </w:tc>
        <w:tc>
          <w:tcPr>
            <w:tcW w:type="dxa" w:w="3360"/>
            <w:vAlign w:val="center"/>
            <w:tcBorders>
              <w:bottom w:val="single" w:sz="6" w:color="000000"/>
            </w:tcBorders>
          </w:tcPr>
          <w:p>
            <w:pPr>
              <w:spacing w:after="0"/>
              <w:ind w:firstLine="0"/>
              <w:jc w:val="center"/>
            </w:pPr>
            <w:r>
              <w:rPr>
                <w:b/>
                <w:sz w:val="18"/>
              </w:rPr>
            </w:r>
            <w:r>
              <w:rPr>
                <w:rFonts w:ascii="Times New Roman" w:hAnsi="Times New Roman"/>
                <w:b/>
                <w:sz w:val="18"/>
              </w:rPr>
              <w:t>Real-data (Insurance)</w:t>
            </w:r>
          </w:p>
        </w:tc>
      </w:tr>
      <w:tr>
        <w:tc>
          <w:tcPr>
            <w:tcW w:type="dxa" w:w="3360"/>
            <w:vAlign w:val="center"/>
          </w:tcPr>
          <w:p>
            <w:pPr>
              <w:spacing w:after="0"/>
              <w:ind w:firstLine="0"/>
              <w:jc w:val="left"/>
            </w:pPr>
            <w:r>
              <w:rPr>
                <w:sz w:val="18"/>
              </w:rPr>
            </w:r>
            <w:r>
              <w:rPr>
                <w:rFonts w:ascii="Times New Roman" w:hAnsi="Times New Roman"/>
                <w:sz w:val="18"/>
              </w:rPr>
              <w:t>L1: bare prompt, no enforcement</w:t>
            </w:r>
          </w:p>
        </w:tc>
        <w:tc>
          <w:tcPr>
            <w:tcW w:type="dxa" w:w="3360"/>
            <w:vAlign w:val="center"/>
          </w:tcPr>
          <w:p>
            <w:pPr>
              <w:spacing w:after="0"/>
              <w:ind w:firstLine="0"/>
              <w:jc w:val="center"/>
            </w:pPr>
            <w:r>
              <w:rPr>
                <w:sz w:val="18"/>
              </w:rPr>
            </w:r>
            <w:r>
              <w:rPr>
                <w:rFonts w:ascii="Times New Roman" w:hAnsi="Times New Roman"/>
                <w:sz w:val="18"/>
              </w:rPr>
              <w:t>11.5% (23/200)</w:t>
            </w:r>
          </w:p>
        </w:tc>
        <w:tc>
          <w:tcPr>
            <w:tcW w:type="dxa" w:w="3360"/>
            <w:vAlign w:val="center"/>
          </w:tcPr>
          <w:p>
            <w:pPr>
              <w:spacing w:after="0"/>
              <w:ind w:firstLine="0"/>
              <w:jc w:val="center"/>
            </w:pPr>
            <w:r>
              <w:rPr>
                <w:sz w:val="18"/>
              </w:rPr>
            </w:r>
            <w:r>
              <w:rPr>
                <w:rFonts w:ascii="Times New Roman" w:hAnsi="Times New Roman"/>
                <w:sz w:val="18"/>
              </w:rPr>
              <w:t>43.5% (87/200)</w:t>
            </w:r>
          </w:p>
        </w:tc>
      </w:tr>
      <w:tr>
        <w:tc>
          <w:tcPr>
            <w:tcW w:type="dxa" w:w="3360"/>
            <w:vAlign w:val="center"/>
          </w:tcPr>
          <w:p>
            <w:pPr>
              <w:spacing w:after="0"/>
              <w:ind w:firstLine="0"/>
              <w:jc w:val="left"/>
            </w:pPr>
            <w:r>
              <w:rPr>
                <w:sz w:val="18"/>
              </w:rPr>
            </w:r>
            <w:r>
              <w:rPr>
                <w:rFonts w:ascii="Times New Roman" w:hAnsi="Times New Roman"/>
                <w:sz w:val="18"/>
              </w:rPr>
              <w:t>L2: + strict prompt</w:t>
            </w:r>
          </w:p>
        </w:tc>
        <w:tc>
          <w:tcPr>
            <w:tcW w:type="dxa" w:w="3360"/>
            <w:vAlign w:val="center"/>
          </w:tcPr>
          <w:p>
            <w:pPr>
              <w:spacing w:after="0"/>
              <w:ind w:firstLine="0"/>
              <w:jc w:val="center"/>
            </w:pPr>
            <w:r>
              <w:rPr>
                <w:sz w:val="18"/>
              </w:rPr>
            </w:r>
            <w:r>
              <w:rPr>
                <w:rFonts w:ascii="Times New Roman" w:hAnsi="Times New Roman"/>
                <w:sz w:val="18"/>
              </w:rPr>
              <w:t>0.0% (0/200)</w:t>
            </w:r>
          </w:p>
        </w:tc>
        <w:tc>
          <w:tcPr>
            <w:tcW w:type="dxa" w:w="3360"/>
            <w:vAlign w:val="center"/>
          </w:tcPr>
          <w:p>
            <w:pPr>
              <w:spacing w:after="0"/>
              <w:ind w:firstLine="0"/>
              <w:jc w:val="center"/>
            </w:pPr>
            <w:r>
              <w:rPr>
                <w:sz w:val="18"/>
              </w:rPr>
            </w:r>
            <w:r>
              <w:rPr>
                <w:rFonts w:ascii="Times New Roman" w:hAnsi="Times New Roman"/>
                <w:sz w:val="18"/>
              </w:rPr>
              <w:t>0.0% (0/200)</w:t>
            </w:r>
          </w:p>
        </w:tc>
      </w:tr>
      <w:tr>
        <w:tc>
          <w:tcPr>
            <w:tcW w:type="dxa" w:w="3360"/>
            <w:vAlign w:val="center"/>
          </w:tcPr>
          <w:p>
            <w:pPr>
              <w:spacing w:after="0"/>
              <w:ind w:firstLine="0"/>
              <w:jc w:val="left"/>
            </w:pPr>
            <w:r>
              <w:rPr>
                <w:sz w:val="18"/>
              </w:rPr>
            </w:r>
            <w:r>
              <w:rPr>
                <w:rFonts w:ascii="Times New Roman" w:hAnsi="Times New Roman"/>
                <w:sz w:val="18"/>
              </w:rPr>
              <w:t>L3: full contract</w:t>
            </w:r>
          </w:p>
        </w:tc>
        <w:tc>
          <w:tcPr>
            <w:tcW w:type="dxa" w:w="3360"/>
            <w:vAlign w:val="center"/>
          </w:tcPr>
          <w:p>
            <w:pPr>
              <w:spacing w:after="0"/>
              <w:ind w:firstLine="0"/>
              <w:jc w:val="center"/>
            </w:pPr>
            <w:r>
              <w:rPr>
                <w:sz w:val="18"/>
              </w:rPr>
            </w:r>
            <w:r>
              <w:rPr>
                <w:rFonts w:ascii="Times New Roman" w:hAnsi="Times New Roman"/>
                <w:sz w:val="18"/>
              </w:rPr>
              <w:t>0.0% (0/200)</w:t>
            </w:r>
          </w:p>
        </w:tc>
        <w:tc>
          <w:tcPr>
            <w:tcW w:type="dxa" w:w="3360"/>
            <w:vAlign w:val="center"/>
          </w:tcPr>
          <w:p>
            <w:pPr>
              <w:spacing w:after="0"/>
              <w:ind w:firstLine="0"/>
              <w:jc w:val="center"/>
            </w:pPr>
            <w:r>
              <w:rPr>
                <w:sz w:val="18"/>
              </w:rPr>
            </w:r>
            <w:r>
              <w:rPr>
                <w:rFonts w:ascii="Times New Roman" w:hAnsi="Times New Roman"/>
                <w:sz w:val="18"/>
              </w:rPr>
              <w:t>0.0% (0/200)</w:t>
            </w:r>
          </w:p>
        </w:tc>
      </w:tr>
      <w:tr>
        <w:tc>
          <w:tcPr>
            <w:tcW w:type="dxa" w:w="3360"/>
            <w:vAlign w:val="center"/>
          </w:tcPr>
          <w:p>
            <w:pPr>
              <w:spacing w:after="0"/>
              <w:ind w:firstLine="0"/>
              <w:jc w:val="left"/>
            </w:pPr>
            <w:r>
              <w:rPr>
                <w:sz w:val="18"/>
              </w:rPr>
            </w:r>
            <w:r>
              <w:rPr>
                <w:rFonts w:ascii="Times New Roman" w:hAnsi="Times New Roman"/>
                <w:sz w:val="18"/>
              </w:rPr>
              <w:t>STRESS: bare prompt, Tier B only</w:t>
            </w:r>
          </w:p>
        </w:tc>
        <w:tc>
          <w:tcPr>
            <w:tcW w:type="dxa" w:w="3360"/>
            <w:vAlign w:val="center"/>
          </w:tcPr>
          <w:p>
            <w:pPr>
              <w:spacing w:after="0"/>
              <w:ind w:firstLine="0"/>
              <w:jc w:val="center"/>
            </w:pPr>
            <w:r>
              <w:rPr>
                <w:sz w:val="18"/>
              </w:rPr>
            </w:r>
            <w:r>
              <w:rPr>
                <w:rFonts w:ascii="Times New Roman" w:hAnsi="Times New Roman"/>
                <w:b/>
                <w:sz w:val="18"/>
              </w:rPr>
              <w:t>0.0% (0/200)</w:t>
            </w:r>
          </w:p>
        </w:tc>
        <w:tc>
          <w:tcPr>
            <w:tcW w:type="dxa" w:w="3360"/>
            <w:vAlign w:val="center"/>
          </w:tcPr>
          <w:p>
            <w:pPr>
              <w:spacing w:after="0"/>
              <w:ind w:firstLine="0"/>
              <w:jc w:val="center"/>
            </w:pPr>
            <w:r>
              <w:rPr>
                <w:sz w:val="18"/>
              </w:rPr>
            </w:r>
            <w:r>
              <w:rPr>
                <w:rFonts w:ascii="Times New Roman" w:hAnsi="Times New Roman"/>
                <w:b/>
                <w:sz w:val="18"/>
              </w:rPr>
              <w:t>0.0% (0/200)</w:t>
            </w:r>
          </w:p>
        </w:tc>
      </w:tr>
    </w:tbl>
    <w:p>
      <w:pPr>
        <w:spacing w:after="60"/>
        <w:ind w:firstLine="0"/>
      </w:pPr>
    </w:p>
    <w:p>
      <w:pPr>
        <w:spacing w:before="0" w:after="60"/>
        <w:ind w:firstLine="288"/>
        <w:jc w:val="both"/>
      </w:pPr>
      <w:r>
        <w:rPr>
          <w:rFonts w:ascii="Times New Roman" w:hAnsi="Times New Roman"/>
          <w:sz w:val="20"/>
        </w:rPr>
        <w:t xml:space="preserve">CIs: L1 synthetic [7.79, 16.66], L1 real-data [36.82, 50.43]; all 0/200 cells [0.00, 1.88]. On the two further channels (value misquotes and critical omissions), observed violations were </w:t>
      </w:r>
      <w:r>
        <w:rPr>
          <w:rFonts w:ascii="Times New Roman" w:hAnsi="Times New Roman"/>
          <w:b/>
          <w:sz w:val="20"/>
        </w:rPr>
        <w:t>zero in every cell of both tasks</w:t>
      </w:r>
      <w:r>
        <w:rPr>
          <w:rFonts w:ascii="Times New Roman" w:hAnsi="Times New Roman"/>
          <w:sz w:val="20"/>
        </w:rPr>
        <w:t xml:space="preserve"> (0/200 each): when this model emits structured claims it copies values accurately here, and the anchor is salient. We report these as boundaries, not victories (Sec. V-C).</w:t>
      </w:r>
    </w:p>
    <w:p>
      <w:pPr>
        <w:spacing w:before="0" w:after="60"/>
        <w:ind w:firstLine="288"/>
        <w:jc w:val="both"/>
      </w:pPr>
      <w:r>
        <w:rPr>
          <w:rFonts w:ascii="Times New Roman" w:hAnsi="Times New Roman"/>
          <w:b/>
          <w:sz w:val="20"/>
        </w:rPr>
        <w:t>The paraphrase sweep: prompt wording is not a defense.</w:t>
      </w:r>
      <w:r>
        <w:rPr>
          <w:rFonts w:ascii="Times New Roman" w:hAnsi="Times New Roman"/>
          <w:sz w:val="20"/>
        </w:rPr>
        <w:t xml:space="preserve"> Table II gives the entity-fabrication rate of six rule-free paraphrases of the same instruction on identical evidence and schema. All six variants were authored before any measurement and none was discarded. The rate spans </w:t>
      </w:r>
      <w:r>
        <w:rPr>
          <w:rFonts w:ascii="Times New Roman" w:hAnsi="Times New Roman"/>
          <w:b/>
          <w:sz w:val="20"/>
        </w:rPr>
        <w:t>1% to 100%</w:t>
      </w:r>
      <w:r>
        <w:rPr>
          <w:rFonts w:ascii="Times New Roman" w:hAnsi="Times New Roman"/>
          <w:sz w:val="20"/>
        </w:rPr>
        <w:t>: a terse instruction nearly never fabricates, a "mechanical" field-listing one always does, and a helpful-assistant framing fabricates in 93% of responses. No obvious wording feature predicts the rate. A defense whose effectiveness moves two orders of magnitude under innocuous rewording cannot be certified; this is the empirical case for structural enforcement.</w:t>
      </w:r>
    </w:p>
    <w:p>
      <w:pPr>
        <w:spacing w:before="120" w:after="60"/>
        <w:ind w:firstLine="0"/>
        <w:jc w:val="center"/>
      </w:pPr>
      <w:r>
        <w:rPr>
          <w:rFonts w:ascii="Times New Roman" w:hAnsi="Times New Roman"/>
          <w:b w:val="0"/>
          <w:sz w:val="18"/>
        </w:rPr>
        <w:t>TABLE II. BARE-PROMPT PARAPHRASE SWEEP (SYNTHETIC, N = 100 PER VARIANT)</w:t>
      </w:r>
    </w:p>
    <w:tbl>
      <w:tblPr>
        <w:tblStyle w:val="TableGrid"/>
        <w:tblW w:type="auto" w:w="0"/>
        <w:jc w:val="center"/>
        <w:tblLook w:firstColumn="1" w:firstRow="1" w:lastColumn="0" w:lastRow="0" w:noHBand="0" w:noVBand="1" w:val="04A0"/>
        <w:tblBorders>
          <w:top w:val="single" w:sz="8" w:color="000000"/>
          <w:bottom w:val="single" w:sz="8" w:color="000000"/>
          <w:left w:val="nil"/>
          <w:right w:val="nil"/>
          <w:insideV w:val="nil"/>
          <w:insideH w:val="nil"/>
        </w:tblBorders>
      </w:tblPr>
      <w:tblGrid>
        <w:gridCol w:w="2520"/>
        <w:gridCol w:w="2520"/>
        <w:gridCol w:w="2520"/>
        <w:gridCol w:w="2520"/>
      </w:tblGrid>
      <w:tr>
        <w:tc>
          <w:tcPr>
            <w:tcW w:type="dxa" w:w="2520"/>
            <w:vAlign w:val="center"/>
            <w:tcBorders>
              <w:bottom w:val="single" w:sz="6" w:color="000000"/>
            </w:tcBorders>
          </w:tcPr>
          <w:p>
            <w:pPr>
              <w:spacing w:after="0"/>
              <w:ind w:firstLine="0"/>
              <w:jc w:val="left"/>
            </w:pPr>
            <w:r>
              <w:rPr>
                <w:b/>
                <w:sz w:val="18"/>
              </w:rPr>
            </w:r>
            <w:r>
              <w:rPr>
                <w:rFonts w:ascii="Times New Roman" w:hAnsi="Times New Roman"/>
                <w:b/>
                <w:sz w:val="18"/>
              </w:rPr>
              <w:t>Variant</w:t>
            </w:r>
          </w:p>
        </w:tc>
        <w:tc>
          <w:tcPr>
            <w:tcW w:type="dxa" w:w="2520"/>
            <w:vAlign w:val="center"/>
            <w:tcBorders>
              <w:bottom w:val="single" w:sz="6" w:color="000000"/>
            </w:tcBorders>
          </w:tcPr>
          <w:p>
            <w:pPr>
              <w:spacing w:after="0"/>
              <w:ind w:firstLine="0"/>
              <w:jc w:val="center"/>
            </w:pPr>
            <w:r>
              <w:rPr>
                <w:b/>
                <w:sz w:val="18"/>
              </w:rPr>
            </w:r>
            <w:r>
              <w:rPr>
                <w:rFonts w:ascii="Times New Roman" w:hAnsi="Times New Roman"/>
                <w:b/>
                <w:sz w:val="18"/>
              </w:rPr>
              <w:t>Entity-fab</w:t>
            </w:r>
          </w:p>
        </w:tc>
        <w:tc>
          <w:tcPr>
            <w:tcW w:type="dxa" w:w="2520"/>
            <w:vAlign w:val="center"/>
            <w:tcBorders>
              <w:bottom w:val="single" w:sz="6" w:color="000000"/>
            </w:tcBorders>
          </w:tcPr>
          <w:p>
            <w:pPr>
              <w:spacing w:after="0"/>
              <w:ind w:firstLine="0"/>
              <w:jc w:val="center"/>
            </w:pPr>
            <w:r>
              <w:rPr>
                <w:b/>
                <w:sz w:val="18"/>
              </w:rPr>
            </w:r>
            <w:r>
              <w:rPr>
                <w:rFonts w:ascii="Times New Roman" w:hAnsi="Times New Roman"/>
                <w:b/>
                <w:sz w:val="18"/>
              </w:rPr>
              <w:t>95% CI</w:t>
            </w:r>
          </w:p>
        </w:tc>
        <w:tc>
          <w:tcPr>
            <w:tcW w:type="dxa" w:w="2520"/>
            <w:vAlign w:val="center"/>
            <w:tcBorders>
              <w:bottom w:val="single" w:sz="6" w:color="000000"/>
            </w:tcBorders>
          </w:tcPr>
          <w:p>
            <w:pPr>
              <w:spacing w:after="0"/>
              <w:ind w:firstLine="0"/>
              <w:jc w:val="center"/>
            </w:pPr>
            <w:r>
              <w:rPr>
                <w:b/>
                <w:sz w:val="18"/>
              </w:rPr>
            </w:r>
            <w:r>
              <w:rPr>
                <w:rFonts w:ascii="Times New Roman" w:hAnsi="Times New Roman"/>
                <w:b/>
                <w:sz w:val="18"/>
              </w:rPr>
              <w:t>k / N</w:t>
            </w:r>
          </w:p>
        </w:tc>
      </w:tr>
      <w:tr>
        <w:tc>
          <w:tcPr>
            <w:tcW w:type="dxa" w:w="2520"/>
            <w:vAlign w:val="center"/>
          </w:tcPr>
          <w:p>
            <w:pPr>
              <w:spacing w:after="0"/>
              <w:ind w:firstLine="0"/>
              <w:jc w:val="left"/>
            </w:pPr>
            <w:r>
              <w:rPr>
                <w:sz w:val="18"/>
              </w:rPr>
            </w:r>
            <w:r>
              <w:rPr>
                <w:rFonts w:ascii="Times New Roman" w:hAnsi="Times New Roman"/>
                <w:sz w:val="18"/>
              </w:rPr>
              <w:t>terse</w:t>
            </w:r>
          </w:p>
        </w:tc>
        <w:tc>
          <w:tcPr>
            <w:tcW w:type="dxa" w:w="2520"/>
            <w:vAlign w:val="center"/>
          </w:tcPr>
          <w:p>
            <w:pPr>
              <w:spacing w:after="0"/>
              <w:ind w:firstLine="0"/>
              <w:jc w:val="center"/>
            </w:pPr>
            <w:r>
              <w:rPr>
                <w:sz w:val="18"/>
              </w:rPr>
            </w:r>
            <w:r>
              <w:rPr>
                <w:rFonts w:ascii="Times New Roman" w:hAnsi="Times New Roman"/>
                <w:sz w:val="18"/>
              </w:rPr>
              <w:t>1.0%</w:t>
            </w:r>
          </w:p>
        </w:tc>
        <w:tc>
          <w:tcPr>
            <w:tcW w:type="dxa" w:w="2520"/>
            <w:vAlign w:val="center"/>
          </w:tcPr>
          <w:p>
            <w:pPr>
              <w:spacing w:after="0"/>
              <w:ind w:firstLine="0"/>
              <w:jc w:val="center"/>
            </w:pPr>
            <w:r>
              <w:rPr>
                <w:sz w:val="18"/>
              </w:rPr>
            </w:r>
            <w:r>
              <w:rPr>
                <w:rFonts w:ascii="Times New Roman" w:hAnsi="Times New Roman"/>
                <w:sz w:val="18"/>
              </w:rPr>
              <w:t>[0.18, 5.45]</w:t>
            </w:r>
          </w:p>
        </w:tc>
        <w:tc>
          <w:tcPr>
            <w:tcW w:type="dxa" w:w="2520"/>
            <w:vAlign w:val="center"/>
          </w:tcPr>
          <w:p>
            <w:pPr>
              <w:spacing w:after="0"/>
              <w:ind w:firstLine="0"/>
              <w:jc w:val="center"/>
            </w:pPr>
            <w:r>
              <w:rPr>
                <w:sz w:val="18"/>
              </w:rPr>
            </w:r>
            <w:r>
              <w:rPr>
                <w:rFonts w:ascii="Times New Roman" w:hAnsi="Times New Roman"/>
                <w:sz w:val="18"/>
              </w:rPr>
              <w:t>1 / 100</w:t>
            </w:r>
          </w:p>
        </w:tc>
      </w:tr>
      <w:tr>
        <w:tc>
          <w:tcPr>
            <w:tcW w:type="dxa" w:w="2520"/>
            <w:vAlign w:val="center"/>
          </w:tcPr>
          <w:p>
            <w:pPr>
              <w:spacing w:after="0"/>
              <w:ind w:firstLine="0"/>
              <w:jc w:val="left"/>
            </w:pPr>
            <w:r>
              <w:rPr>
                <w:sz w:val="18"/>
              </w:rPr>
            </w:r>
            <w:r>
              <w:rPr>
                <w:rFonts w:ascii="Times New Roman" w:hAnsi="Times New Roman"/>
                <w:sz w:val="18"/>
              </w:rPr>
              <w:t>baseline</w:t>
            </w:r>
          </w:p>
        </w:tc>
        <w:tc>
          <w:tcPr>
            <w:tcW w:type="dxa" w:w="2520"/>
            <w:vAlign w:val="center"/>
          </w:tcPr>
          <w:p>
            <w:pPr>
              <w:spacing w:after="0"/>
              <w:ind w:firstLine="0"/>
              <w:jc w:val="center"/>
            </w:pPr>
            <w:r>
              <w:rPr>
                <w:sz w:val="18"/>
              </w:rPr>
            </w:r>
            <w:r>
              <w:rPr>
                <w:rFonts w:ascii="Times New Roman" w:hAnsi="Times New Roman"/>
                <w:sz w:val="18"/>
              </w:rPr>
              <w:t>7.0%</w:t>
            </w:r>
          </w:p>
        </w:tc>
        <w:tc>
          <w:tcPr>
            <w:tcW w:type="dxa" w:w="2520"/>
            <w:vAlign w:val="center"/>
          </w:tcPr>
          <w:p>
            <w:pPr>
              <w:spacing w:after="0"/>
              <w:ind w:firstLine="0"/>
              <w:jc w:val="center"/>
            </w:pPr>
            <w:r>
              <w:rPr>
                <w:sz w:val="18"/>
              </w:rPr>
            </w:r>
            <w:r>
              <w:rPr>
                <w:rFonts w:ascii="Times New Roman" w:hAnsi="Times New Roman"/>
                <w:sz w:val="18"/>
              </w:rPr>
              <w:t>[3.43, 13.75]</w:t>
            </w:r>
          </w:p>
        </w:tc>
        <w:tc>
          <w:tcPr>
            <w:tcW w:type="dxa" w:w="2520"/>
            <w:vAlign w:val="center"/>
          </w:tcPr>
          <w:p>
            <w:pPr>
              <w:spacing w:after="0"/>
              <w:ind w:firstLine="0"/>
              <w:jc w:val="center"/>
            </w:pPr>
            <w:r>
              <w:rPr>
                <w:sz w:val="18"/>
              </w:rPr>
            </w:r>
            <w:r>
              <w:rPr>
                <w:rFonts w:ascii="Times New Roman" w:hAnsi="Times New Roman"/>
                <w:sz w:val="18"/>
              </w:rPr>
              <w:t>7 / 100</w:t>
            </w:r>
          </w:p>
        </w:tc>
      </w:tr>
      <w:tr>
        <w:tc>
          <w:tcPr>
            <w:tcW w:type="dxa" w:w="2520"/>
            <w:vAlign w:val="center"/>
          </w:tcPr>
          <w:p>
            <w:pPr>
              <w:spacing w:after="0"/>
              <w:ind w:firstLine="0"/>
              <w:jc w:val="left"/>
            </w:pPr>
            <w:r>
              <w:rPr>
                <w:sz w:val="18"/>
              </w:rPr>
            </w:r>
            <w:r>
              <w:rPr>
                <w:rFonts w:ascii="Times New Roman" w:hAnsi="Times New Roman"/>
                <w:sz w:val="18"/>
              </w:rPr>
              <w:t>cautious</w:t>
            </w:r>
          </w:p>
        </w:tc>
        <w:tc>
          <w:tcPr>
            <w:tcW w:type="dxa" w:w="2520"/>
            <w:vAlign w:val="center"/>
          </w:tcPr>
          <w:p>
            <w:pPr>
              <w:spacing w:after="0"/>
              <w:ind w:firstLine="0"/>
              <w:jc w:val="center"/>
            </w:pPr>
            <w:r>
              <w:rPr>
                <w:sz w:val="18"/>
              </w:rPr>
            </w:r>
            <w:r>
              <w:rPr>
                <w:rFonts w:ascii="Times New Roman" w:hAnsi="Times New Roman"/>
                <w:sz w:val="18"/>
              </w:rPr>
              <w:t>45.0%</w:t>
            </w:r>
          </w:p>
        </w:tc>
        <w:tc>
          <w:tcPr>
            <w:tcW w:type="dxa" w:w="2520"/>
            <w:vAlign w:val="center"/>
          </w:tcPr>
          <w:p>
            <w:pPr>
              <w:spacing w:after="0"/>
              <w:ind w:firstLine="0"/>
              <w:jc w:val="center"/>
            </w:pPr>
            <w:r>
              <w:rPr>
                <w:sz w:val="18"/>
              </w:rPr>
            </w:r>
            <w:r>
              <w:rPr>
                <w:rFonts w:ascii="Times New Roman" w:hAnsi="Times New Roman"/>
                <w:sz w:val="18"/>
              </w:rPr>
              <w:t>[35.61, 54.76]</w:t>
            </w:r>
          </w:p>
        </w:tc>
        <w:tc>
          <w:tcPr>
            <w:tcW w:type="dxa" w:w="2520"/>
            <w:vAlign w:val="center"/>
          </w:tcPr>
          <w:p>
            <w:pPr>
              <w:spacing w:after="0"/>
              <w:ind w:firstLine="0"/>
              <w:jc w:val="center"/>
            </w:pPr>
            <w:r>
              <w:rPr>
                <w:sz w:val="18"/>
              </w:rPr>
            </w:r>
            <w:r>
              <w:rPr>
                <w:rFonts w:ascii="Times New Roman" w:hAnsi="Times New Roman"/>
                <w:sz w:val="18"/>
              </w:rPr>
              <w:t>45 / 100</w:t>
            </w:r>
          </w:p>
        </w:tc>
      </w:tr>
      <w:tr>
        <w:tc>
          <w:tcPr>
            <w:tcW w:type="dxa" w:w="2520"/>
            <w:vAlign w:val="center"/>
          </w:tcPr>
          <w:p>
            <w:pPr>
              <w:spacing w:after="0"/>
              <w:ind w:firstLine="0"/>
              <w:jc w:val="left"/>
            </w:pPr>
            <w:r>
              <w:rPr>
                <w:sz w:val="18"/>
              </w:rPr>
            </w:r>
            <w:r>
              <w:rPr>
                <w:rFonts w:ascii="Times New Roman" w:hAnsi="Times New Roman"/>
                <w:sz w:val="18"/>
              </w:rPr>
              <w:t>expert</w:t>
            </w:r>
          </w:p>
        </w:tc>
        <w:tc>
          <w:tcPr>
            <w:tcW w:type="dxa" w:w="2520"/>
            <w:vAlign w:val="center"/>
          </w:tcPr>
          <w:p>
            <w:pPr>
              <w:spacing w:after="0"/>
              <w:ind w:firstLine="0"/>
              <w:jc w:val="center"/>
            </w:pPr>
            <w:r>
              <w:rPr>
                <w:sz w:val="18"/>
              </w:rPr>
            </w:r>
            <w:r>
              <w:rPr>
                <w:rFonts w:ascii="Times New Roman" w:hAnsi="Times New Roman"/>
                <w:sz w:val="18"/>
              </w:rPr>
              <w:t>90.0%</w:t>
            </w:r>
          </w:p>
        </w:tc>
        <w:tc>
          <w:tcPr>
            <w:tcW w:type="dxa" w:w="2520"/>
            <w:vAlign w:val="center"/>
          </w:tcPr>
          <w:p>
            <w:pPr>
              <w:spacing w:after="0"/>
              <w:ind w:firstLine="0"/>
              <w:jc w:val="center"/>
            </w:pPr>
            <w:r>
              <w:rPr>
                <w:sz w:val="18"/>
              </w:rPr>
            </w:r>
            <w:r>
              <w:rPr>
                <w:rFonts w:ascii="Times New Roman" w:hAnsi="Times New Roman"/>
                <w:sz w:val="18"/>
              </w:rPr>
              <w:t>[82.56, 94.48]</w:t>
            </w:r>
          </w:p>
        </w:tc>
        <w:tc>
          <w:tcPr>
            <w:tcW w:type="dxa" w:w="2520"/>
            <w:vAlign w:val="center"/>
          </w:tcPr>
          <w:p>
            <w:pPr>
              <w:spacing w:after="0"/>
              <w:ind w:firstLine="0"/>
              <w:jc w:val="center"/>
            </w:pPr>
            <w:r>
              <w:rPr>
                <w:sz w:val="18"/>
              </w:rPr>
            </w:r>
            <w:r>
              <w:rPr>
                <w:rFonts w:ascii="Times New Roman" w:hAnsi="Times New Roman"/>
                <w:sz w:val="18"/>
              </w:rPr>
              <w:t>90 / 100</w:t>
            </w:r>
          </w:p>
        </w:tc>
      </w:tr>
      <w:tr>
        <w:tc>
          <w:tcPr>
            <w:tcW w:type="dxa" w:w="2520"/>
            <w:vAlign w:val="center"/>
          </w:tcPr>
          <w:p>
            <w:pPr>
              <w:spacing w:after="0"/>
              <w:ind w:firstLine="0"/>
              <w:jc w:val="left"/>
            </w:pPr>
            <w:r>
              <w:rPr>
                <w:sz w:val="18"/>
              </w:rPr>
            </w:r>
            <w:r>
              <w:rPr>
                <w:rFonts w:ascii="Times New Roman" w:hAnsi="Times New Roman"/>
                <w:sz w:val="18"/>
              </w:rPr>
              <w:t>helpful</w:t>
            </w:r>
          </w:p>
        </w:tc>
        <w:tc>
          <w:tcPr>
            <w:tcW w:type="dxa" w:w="2520"/>
            <w:vAlign w:val="center"/>
          </w:tcPr>
          <w:p>
            <w:pPr>
              <w:spacing w:after="0"/>
              <w:ind w:firstLine="0"/>
              <w:jc w:val="center"/>
            </w:pPr>
            <w:r>
              <w:rPr>
                <w:sz w:val="18"/>
              </w:rPr>
            </w:r>
            <w:r>
              <w:rPr>
                <w:rFonts w:ascii="Times New Roman" w:hAnsi="Times New Roman"/>
                <w:sz w:val="18"/>
              </w:rPr>
              <w:t>93.0%</w:t>
            </w:r>
          </w:p>
        </w:tc>
        <w:tc>
          <w:tcPr>
            <w:tcW w:type="dxa" w:w="2520"/>
            <w:vAlign w:val="center"/>
          </w:tcPr>
          <w:p>
            <w:pPr>
              <w:spacing w:after="0"/>
              <w:ind w:firstLine="0"/>
              <w:jc w:val="center"/>
            </w:pPr>
            <w:r>
              <w:rPr>
                <w:sz w:val="18"/>
              </w:rPr>
            </w:r>
            <w:r>
              <w:rPr>
                <w:rFonts w:ascii="Times New Roman" w:hAnsi="Times New Roman"/>
                <w:sz w:val="18"/>
              </w:rPr>
              <w:t>[86.25, 96.57]</w:t>
            </w:r>
          </w:p>
        </w:tc>
        <w:tc>
          <w:tcPr>
            <w:tcW w:type="dxa" w:w="2520"/>
            <w:vAlign w:val="center"/>
          </w:tcPr>
          <w:p>
            <w:pPr>
              <w:spacing w:after="0"/>
              <w:ind w:firstLine="0"/>
              <w:jc w:val="center"/>
            </w:pPr>
            <w:r>
              <w:rPr>
                <w:sz w:val="18"/>
              </w:rPr>
            </w:r>
            <w:r>
              <w:rPr>
                <w:rFonts w:ascii="Times New Roman" w:hAnsi="Times New Roman"/>
                <w:sz w:val="18"/>
              </w:rPr>
              <w:t>93 / 100</w:t>
            </w:r>
          </w:p>
        </w:tc>
      </w:tr>
      <w:tr>
        <w:tc>
          <w:tcPr>
            <w:tcW w:type="dxa" w:w="2520"/>
            <w:vAlign w:val="center"/>
          </w:tcPr>
          <w:p>
            <w:pPr>
              <w:spacing w:after="0"/>
              <w:ind w:firstLine="0"/>
              <w:jc w:val="left"/>
            </w:pPr>
            <w:r>
              <w:rPr>
                <w:sz w:val="18"/>
              </w:rPr>
            </w:r>
            <w:r>
              <w:rPr>
                <w:rFonts w:ascii="Times New Roman" w:hAnsi="Times New Roman"/>
                <w:sz w:val="18"/>
              </w:rPr>
              <w:t>mechanical</w:t>
            </w:r>
          </w:p>
        </w:tc>
        <w:tc>
          <w:tcPr>
            <w:tcW w:type="dxa" w:w="2520"/>
            <w:vAlign w:val="center"/>
          </w:tcPr>
          <w:p>
            <w:pPr>
              <w:spacing w:after="0"/>
              <w:ind w:firstLine="0"/>
              <w:jc w:val="center"/>
            </w:pPr>
            <w:r>
              <w:rPr>
                <w:sz w:val="18"/>
              </w:rPr>
            </w:r>
            <w:r>
              <w:rPr>
                <w:rFonts w:ascii="Times New Roman" w:hAnsi="Times New Roman"/>
                <w:sz w:val="18"/>
              </w:rPr>
              <w:t>100.0%</w:t>
            </w:r>
          </w:p>
        </w:tc>
        <w:tc>
          <w:tcPr>
            <w:tcW w:type="dxa" w:w="2520"/>
            <w:vAlign w:val="center"/>
          </w:tcPr>
          <w:p>
            <w:pPr>
              <w:spacing w:after="0"/>
              <w:ind w:firstLine="0"/>
              <w:jc w:val="center"/>
            </w:pPr>
            <w:r>
              <w:rPr>
                <w:sz w:val="18"/>
              </w:rPr>
            </w:r>
            <w:r>
              <w:rPr>
                <w:rFonts w:ascii="Times New Roman" w:hAnsi="Times New Roman"/>
                <w:sz w:val="18"/>
              </w:rPr>
              <w:t>[96.30, 100.00]</w:t>
            </w:r>
          </w:p>
        </w:tc>
        <w:tc>
          <w:tcPr>
            <w:tcW w:type="dxa" w:w="2520"/>
            <w:vAlign w:val="center"/>
          </w:tcPr>
          <w:p>
            <w:pPr>
              <w:spacing w:after="0"/>
              <w:ind w:firstLine="0"/>
              <w:jc w:val="center"/>
            </w:pPr>
            <w:r>
              <w:rPr>
                <w:sz w:val="18"/>
              </w:rPr>
            </w:r>
            <w:r>
              <w:rPr>
                <w:rFonts w:ascii="Times New Roman" w:hAnsi="Times New Roman"/>
                <w:sz w:val="18"/>
              </w:rPr>
              <w:t>100 / 100</w:t>
            </w:r>
          </w:p>
        </w:tc>
      </w:tr>
    </w:tbl>
    <w:p>
      <w:pPr>
        <w:spacing w:after="60"/>
        <w:ind w:firstLine="0"/>
      </w:pPr>
    </w:p>
    <w:p>
      <w:pPr>
        <w:spacing w:before="0" w:after="60"/>
        <w:ind w:firstLine="288"/>
        <w:jc w:val="both"/>
      </w:pPr>
      <w:r>
        <w:rPr>
          <w:rFonts w:ascii="Times New Roman" w:hAnsi="Times New Roman"/>
          <w:b/>
          <w:sz w:val="20"/>
        </w:rPr>
        <w:t>The verifier demonstrably fires.</w:t>
      </w:r>
      <w:r>
        <w:rPr>
          <w:rFonts w:ascii="Times New Roman" w:hAnsi="Times New Roman"/>
          <w:sz w:val="20"/>
        </w:rPr>
        <w:t xml:space="preserve"> In the STRESS configuration on the real-data task, Tier B caught violations in </w:t>
      </w:r>
      <w:r>
        <w:rPr>
          <w:rFonts w:ascii="Times New Roman" w:hAnsi="Times New Roman"/>
          <w:b/>
          <w:sz w:val="20"/>
        </w:rPr>
        <w:t>75 of 200 responses (76 total catches)</w:t>
      </w:r>
      <w:r>
        <w:rPr>
          <w:rFonts w:ascii="Times New Roman" w:hAnsi="Times New Roman"/>
          <w:sz w:val="20"/>
        </w:rPr>
        <w:t xml:space="preserve"> and passed </w:t>
      </w:r>
      <w:r>
        <w:rPr>
          <w:rFonts w:ascii="Times New Roman" w:hAnsi="Times New Roman"/>
          <w:b/>
          <w:sz w:val="20"/>
        </w:rPr>
        <w:t>zero</w:t>
      </w:r>
      <w:r>
        <w:rPr>
          <w:rFonts w:ascii="Times New Roman" w:hAnsi="Times New Roman"/>
          <w:sz w:val="20"/>
        </w:rPr>
        <w:t xml:space="preserve"> to the user; on the synthetic task, 4 catches, zero passed. A pre-stated iid retry model (E[calls] = 1 + q + q², residual-strip probability q³) predicts ≈ 114 total catches at the observed first-attempt rate q = 0.375; the measured 76 rejects the iid assumption in the informative direction: retries are not independent draws, because the corrective message changes behavior. After one corrective message naming the violation, only </w:t>
      </w:r>
      <w:r>
        <w:rPr>
          <w:rFonts w:ascii="Times New Roman" w:hAnsi="Times New Roman"/>
          <w:b/>
          <w:sz w:val="20"/>
        </w:rPr>
        <w:t>1 of 75</w:t>
      </w:r>
      <w:r>
        <w:rPr>
          <w:rFonts w:ascii="Times New Roman" w:hAnsi="Times New Roman"/>
          <w:sz w:val="20"/>
        </w:rPr>
        <w:t xml:space="preserve"> responses violated again: the conditional repeat rate fell from 37.5% to 1.3% (Wilson 95% CI [0.2%, 7.2%]; a ~28× drop in point estimate, ≥ ~5× at the bound), and no response reached the strip fallback. The stress configuration is not an artificial weakening: the sweep shows that wordings fabricating at up to 100% arise from innocuous paraphrases, so a rule-free narrator is an empirically occurring operating point; the stress arm instantiates that point and shows the contract absorbing it. Precise, deterministic feedback is itself a strong mitigation; the verifier is what makes the feedback precise. Expected overhead is E[calls] ≈ 1.38 even in the stress configuration and ≈ 1.0 in production (zero violations observed under the strict prompt).</w:t>
      </w:r>
    </w:p>
    <w:p>
      <w:pPr>
        <w:spacing w:before="0" w:after="60"/>
        <w:ind w:firstLine="288"/>
        <w:jc w:val="both"/>
      </w:pPr>
      <w:r>
        <w:rPr>
          <w:rFonts w:ascii="Times New Roman" w:hAnsi="Times New Roman"/>
          <w:b/>
          <w:sz w:val="20"/>
        </w:rPr>
        <w:t>Overhead.</w:t>
      </w:r>
      <w:r>
        <w:rPr>
          <w:rFonts w:ascii="Times New Roman" w:hAnsi="Times New Roman"/>
          <w:sz w:val="20"/>
        </w:rPr>
        <w:t xml:space="preserve"> The contract adds provider calls only on violation: one call per investigation plus at most two corrective retries; the verification itself is set membership and numeric comparison (Prop. 1). Worst case three calls; measured production overhead zero.</w:t>
      </w:r>
    </w:p>
    <w:p>
      <w:pPr>
        <w:spacing w:before="0" w:after="60"/>
        <w:ind w:firstLine="288"/>
        <w:jc w:val="both"/>
      </w:pPr>
      <w:r>
        <w:rPr>
          <w:rFonts w:ascii="Times New Roman" w:hAnsi="Times New Roman"/>
          <w:b/>
          <w:sz w:val="20"/>
        </w:rPr>
        <w:t>Artifact.</w:t>
      </w:r>
      <w:r>
        <w:rPr>
          <w:rFonts w:ascii="Times New Roman" w:hAnsi="Times New Roman"/>
          <w:sz w:val="20"/>
        </w:rPr>
        <w:t xml:space="preserve"> The contract ships in the production narrator; 22 end-to-end contract tests (enum binding, value tolerance, misquote retry/strip, omission retry/flag, abstention exemption, stress configuration, both provider tool formats) run with mock clients, and the quality gates (</w:t>
      </w:r>
      <w:r>
        <w:rPr>
          <w:rFonts w:ascii="Consolas" w:hAnsi="Consolas"/>
          <w:sz w:val="18"/>
        </w:rPr>
        <w:t>ruff</w:t>
      </w:r>
      <w:r>
        <w:rPr>
          <w:rFonts w:ascii="Times New Roman" w:hAnsi="Times New Roman"/>
          <w:sz w:val="20"/>
        </w:rPr>
        <w:t xml:space="preserve">, </w:t>
      </w:r>
      <w:r>
        <w:rPr>
          <w:rFonts w:ascii="Consolas" w:hAnsi="Consolas"/>
          <w:sz w:val="18"/>
        </w:rPr>
        <w:t>mypy --strict</w:t>
      </w:r>
      <w:r>
        <w:rPr>
          <w:rFonts w:ascii="Times New Roman" w:hAnsi="Times New Roman"/>
          <w:sz w:val="20"/>
        </w:rPr>
        <w:t>) are clean.</w:t>
      </w:r>
    </w:p>
    <w:p>
      <w:pPr>
        <w:spacing w:before="160" w:after="80"/>
        <w:ind w:firstLine="0"/>
        <w:jc w:val="center"/>
      </w:pPr>
      <w:r>
        <w:rPr>
          <w:rFonts w:ascii="Times New Roman" w:hAnsi="Times New Roman"/>
          <w:b/>
          <w:sz w:val="20"/>
        </w:rPr>
        <w:t>V. DISCUSSION AND ERROR ANALYSIS</w:t>
      </w:r>
    </w:p>
    <w:p>
      <w:pPr>
        <w:spacing w:before="120" w:after="40"/>
        <w:ind w:firstLine="0"/>
        <w:jc w:val="left"/>
      </w:pPr>
      <w:r>
        <w:rPr>
          <w:rFonts w:ascii="Times New Roman" w:hAnsi="Times New Roman"/>
          <w:b/>
          <w:i/>
          <w:sz w:val="20"/>
        </w:rPr>
        <w:t>A. Prompts Are Advisory, Schemas Are Enforcement</w:t>
      </w:r>
    </w:p>
    <w:p>
      <w:pPr>
        <w:spacing w:before="0" w:after="60"/>
        <w:ind w:firstLine="288"/>
        <w:jc w:val="both"/>
      </w:pPr>
      <w:r>
        <w:rPr>
          <w:rFonts w:ascii="Times New Roman" w:hAnsi="Times New Roman"/>
          <w:sz w:val="20"/>
        </w:rPr>
        <w:t xml:space="preserve">The sweep makes the principle quantitative: the same model on the same evidence fabricates between 1% and 100% of the time depending on innocuous wording, and the strict prompt's observed zeros (0/200 per task) still leave a 1.88% Wilson upper bound with no structural reason to hold under the next model update or the next paraphrase. The contract provides what no prompt can: a worst-case guarantee at any propensity, under any wording. </w:t>
      </w:r>
      <w:r>
        <w:rPr>
          <w:rFonts w:ascii="Times New Roman" w:hAnsi="Times New Roman"/>
          <w:i/>
          <w:sz w:val="20"/>
        </w:rPr>
        <w:t>Prompts are advisory; schemas, with verification, are enforcement.</w:t>
      </w:r>
    </w:p>
    <w:p>
      <w:pPr>
        <w:spacing w:before="120" w:after="40"/>
        <w:ind w:firstLine="0"/>
        <w:jc w:val="left"/>
      </w:pPr>
      <w:r>
        <w:rPr>
          <w:rFonts w:ascii="Times New Roman" w:hAnsi="Times New Roman"/>
          <w:b/>
          <w:i/>
          <w:sz w:val="20"/>
        </w:rPr>
        <w:t>B. Detection Enables Correction</w:t>
      </w:r>
    </w:p>
    <w:p>
      <w:pPr>
        <w:spacing w:before="0" w:after="60"/>
        <w:ind w:firstLine="288"/>
        <w:jc w:val="both"/>
      </w:pPr>
      <w:r>
        <w:rPr>
          <w:rFonts w:ascii="Times New Roman" w:hAnsi="Times New Roman"/>
          <w:sz w:val="20"/>
        </w:rPr>
        <w:t xml:space="preserve">The stress data reveal a second-order benefit: the deterministic verifier does not merely block unfaithful responses; it also names the violation, and that named feedback cut the repeat-violation rate from 37.5% to 1.3% (Sec. IV-C). Vague "be accurate" guidance is weak (the </w:t>
      </w:r>
      <w:r>
        <w:rPr>
          <w:rFonts w:ascii="Times New Roman" w:hAnsi="Times New Roman"/>
          <w:i/>
          <w:sz w:val="20"/>
        </w:rPr>
        <w:t>cautious</w:t>
      </w:r>
      <w:r>
        <w:rPr>
          <w:rFonts w:ascii="Times New Roman" w:hAnsi="Times New Roman"/>
          <w:sz w:val="20"/>
        </w:rPr>
        <w:t xml:space="preserve"> paraphrase fabricated at 45%); precise, machine-generated violation reports are strong. This suggests the right division of labor in narrator design: let the verifier, not the prompt author, do the correcting.</w:t>
      </w:r>
    </w:p>
    <w:p>
      <w:pPr>
        <w:spacing w:before="120" w:after="40"/>
        <w:ind w:firstLine="0"/>
        <w:jc w:val="left"/>
      </w:pPr>
      <w:r>
        <w:rPr>
          <w:rFonts w:ascii="Times New Roman" w:hAnsi="Times New Roman"/>
          <w:b/>
          <w:i/>
          <w:sz w:val="20"/>
        </w:rPr>
        <w:t>C. Negative Results Are Boundaries, Not Failures</w:t>
      </w:r>
    </w:p>
    <w:p>
      <w:pPr>
        <w:spacing w:before="0" w:after="60"/>
        <w:ind w:firstLine="288"/>
        <w:jc w:val="both"/>
      </w:pPr>
      <w:r>
        <w:rPr>
          <w:rFonts w:ascii="Times New Roman" w:hAnsi="Times New Roman"/>
          <w:sz w:val="20"/>
        </w:rPr>
        <w:t>We measured no value misquotes and no critical omissions anywhere: the numbers sit verbatim in context (copying is easy) and the anchor is the most salient item. The channels may activate under longer contexts, derived statistics, or busier evidence; the contract closes them pre-emptively at the cost of a set lookup and a float comparison (Prop. 1). Verifying cheap invariants before they are observed failing is, we argue, the right default for evidence-closed narrators.</w:t>
      </w:r>
    </w:p>
    <w:p>
      <w:pPr>
        <w:spacing w:before="120" w:after="40"/>
        <w:ind w:firstLine="0"/>
        <w:jc w:val="left"/>
      </w:pPr>
      <w:r>
        <w:rPr>
          <w:rFonts w:ascii="Times New Roman" w:hAnsi="Times New Roman"/>
          <w:b/>
          <w:i/>
          <w:sz w:val="20"/>
        </w:rPr>
        <w:t>D. Beyond ML: Where the Contract Transposes</w:t>
      </w:r>
    </w:p>
    <w:p>
      <w:pPr>
        <w:spacing w:before="0" w:after="60"/>
        <w:ind w:firstLine="288"/>
        <w:jc w:val="both"/>
      </w:pPr>
      <w:r>
        <w:rPr>
          <w:rFonts w:ascii="Times New Roman" w:hAnsi="Times New Roman"/>
          <w:sz w:val="20"/>
        </w:rPr>
        <w:t>The contract needs three invariants: a deterministic evidence producer, a finite enumerable set of observed entities and values, and a runtime enum bound to that set with independent verification. Wherever narration is evidence-closed, the same guarantee applies: a clinical-decision narrator could bind citations to the patient's actually-measured abnormal results and verify cited values against the measurements; an expert-system narrator could bind citations to fired rule IDs. We have not evaluated these domains; they mark the boundary of the claim. A related engineering lesson from shipping the system: when one capability ships through several interfaces (CLI and tool-server in our case), behavioral parity must be enforced through shared code paths and tested as an invariant; we hit and fixed exactly such a divergence.</w:t>
      </w:r>
    </w:p>
    <w:p>
      <w:pPr>
        <w:spacing w:before="120" w:after="40"/>
        <w:ind w:firstLine="0"/>
        <w:jc w:val="left"/>
      </w:pPr>
      <w:r>
        <w:rPr>
          <w:rFonts w:ascii="Times New Roman" w:hAnsi="Times New Roman"/>
          <w:b/>
          <w:i/>
          <w:sz w:val="20"/>
        </w:rPr>
        <w:t>E. Limitations and Residual Risks</w:t>
      </w:r>
    </w:p>
    <w:p>
      <w:pPr>
        <w:spacing w:after="40"/>
        <w:ind w:left="360" w:hanging="216"/>
        <w:jc w:val="both"/>
      </w:pPr>
      <w:r>
        <w:rPr>
          <w:rFonts w:ascii="Times New Roman" w:hAnsi="Times New Roman"/>
          <w:sz w:val="20"/>
        </w:rPr>
        <w:t xml:space="preserve">1. </w:t>
      </w:r>
      <w:r>
        <w:rPr>
          <w:rFonts w:ascii="Times New Roman" w:hAnsi="Times New Roman"/>
          <w:b/>
          <w:sz w:val="20"/>
        </w:rPr>
        <w:t>Single provider.</w:t>
      </w:r>
      <w:r>
        <w:rPr>
          <w:rFonts w:ascii="Times New Roman" w:hAnsi="Times New Roman"/>
          <w:sz w:val="20"/>
        </w:rPr>
        <w:t xml:space="preserve"> All measurements use one commercial LLM; the rates should not be generalized; our own sweep shows they do not even generalize across paraphrases.</w:t>
      </w:r>
    </w:p>
    <w:p>
      <w:pPr>
        <w:spacing w:after="40"/>
        <w:ind w:left="360" w:hanging="216"/>
        <w:jc w:val="both"/>
      </w:pPr>
      <w:r>
        <w:rPr>
          <w:rFonts w:ascii="Times New Roman" w:hAnsi="Times New Roman"/>
          <w:sz w:val="20"/>
        </w:rPr>
        <w:t xml:space="preserve">2. </w:t>
      </w:r>
      <w:r>
        <w:rPr>
          <w:rFonts w:ascii="Times New Roman" w:hAnsi="Times New Roman"/>
          <w:b/>
          <w:sz w:val="20"/>
        </w:rPr>
        <w:t>Two tasks, one leak pattern.</w:t>
      </w:r>
      <w:r>
        <w:rPr>
          <w:rFonts w:ascii="Times New Roman" w:hAnsi="Times New Roman"/>
          <w:sz w:val="20"/>
        </w:rPr>
        <w:t xml:space="preserve"> Both tasks inject a log-of-target leak; diversity of leak patterns and evidence shapes remains future work. We did not log the composition of L1 violations, per-response claim counts, or per-arm abstention rates; an arm that drove the narrator into abstention would trivially score zero on all channels, though L1's high rates show the task elicits committed, citing behavior.</w:t>
      </w:r>
    </w:p>
    <w:p>
      <w:pPr>
        <w:spacing w:after="40"/>
        <w:ind w:left="360" w:hanging="216"/>
        <w:jc w:val="both"/>
      </w:pPr>
      <w:r>
        <w:rPr>
          <w:rFonts w:ascii="Times New Roman" w:hAnsi="Times New Roman"/>
          <w:sz w:val="20"/>
        </w:rPr>
        <w:t xml:space="preserve">3. </w:t>
      </w:r>
      <w:r>
        <w:rPr>
          <w:rFonts w:ascii="Times New Roman" w:hAnsi="Times New Roman"/>
          <w:b/>
          <w:sz w:val="20"/>
        </w:rPr>
        <w:t>Stress-arm confound.</w:t>
      </w:r>
      <w:r>
        <w:rPr>
          <w:rFonts w:ascii="Times New Roman" w:hAnsi="Times New Roman"/>
          <w:sz w:val="20"/>
        </w:rPr>
        <w:t xml:space="preserve"> The stress arm reuses the shipped contract's user message, which references a contract; its first-attempt propensity is therefore not exactly comparable to L1's (synthetic: 2% vs. 11.5%; real data: 37.5% vs. 43.5%). Catches are reported as demonstrations of the verifier firing, not as estimates of the bare rate.</w:t>
      </w:r>
    </w:p>
    <w:p>
      <w:pPr>
        <w:spacing w:after="40"/>
        <w:ind w:left="360" w:hanging="216"/>
        <w:jc w:val="both"/>
      </w:pPr>
      <w:r>
        <w:rPr>
          <w:rFonts w:ascii="Times New Roman" w:hAnsi="Times New Roman"/>
          <w:sz w:val="20"/>
        </w:rPr>
        <w:t xml:space="preserve">4. </w:t>
      </w:r>
      <w:r>
        <w:rPr>
          <w:rFonts w:ascii="Times New Roman" w:hAnsi="Times New Roman"/>
          <w:b/>
          <w:sz w:val="20"/>
        </w:rPr>
        <w:t>Channels not covered.</w:t>
      </w:r>
      <w:r>
        <w:rPr>
          <w:rFonts w:ascii="Times New Roman" w:hAnsi="Times New Roman"/>
          <w:sz w:val="20"/>
        </w:rPr>
        <w:t xml:space="preserve"> Miscalibrated confidence on correctly-cited, correctly-valued evidence; fabrication inside the free-text narration field (renderers surface the validated citation and claim sets as the actionable output); under enforcement pressure, fabrication may also migrate toward this unverified channel, and we did not measure such displacement; prompt-injection compliance. If the deterministic layer misses the true leak, the enum structurally bars the narrator from naming it, a precision-for-recall trade inherent to the binding.</w:t>
      </w:r>
    </w:p>
    <w:p>
      <w:pPr>
        <w:spacing w:after="40"/>
        <w:ind w:left="360" w:hanging="216"/>
        <w:jc w:val="both"/>
      </w:pPr>
      <w:r>
        <w:rPr>
          <w:rFonts w:ascii="Times New Roman" w:hAnsi="Times New Roman"/>
          <w:sz w:val="20"/>
        </w:rPr>
        <w:t xml:space="preserve">5. </w:t>
      </w:r>
      <w:r>
        <w:rPr>
          <w:rFonts w:ascii="Times New Roman" w:hAnsi="Times New Roman"/>
          <w:b/>
          <w:sz w:val="20"/>
        </w:rPr>
        <w:t>Tier A unmeasured in isolation</w:t>
      </w:r>
      <w:r>
        <w:rPr>
          <w:rFonts w:ascii="Times New Roman" w:hAnsi="Times New Roman"/>
          <w:sz w:val="20"/>
        </w:rPr>
        <w:t>, and no head-to-head against a static-schema decoder where decoders are applicable, nor against validate-and-reask toolkits [18], [19]; on the tested endpoint Tier A acts, at most, as schema-as-prompt steering.</w:t>
      </w:r>
    </w:p>
    <w:p>
      <w:pPr>
        <w:spacing w:before="160" w:after="80"/>
        <w:ind w:firstLine="0"/>
        <w:jc w:val="center"/>
      </w:pPr>
      <w:r>
        <w:rPr>
          <w:rFonts w:ascii="Times New Roman" w:hAnsi="Times New Roman"/>
          <w:b/>
          <w:sz w:val="20"/>
        </w:rPr>
        <w:t>VI. CONCLUSION</w:t>
      </w:r>
    </w:p>
    <w:p>
      <w:pPr>
        <w:spacing w:before="0" w:after="60"/>
        <w:ind w:firstLine="288"/>
        <w:jc w:val="both"/>
      </w:pPr>
      <w:r>
        <w:rPr>
          <w:rFonts w:ascii="Times New Roman" w:hAnsi="Times New Roman"/>
          <w:sz w:val="20"/>
        </w:rPr>
        <w:t xml:space="preserve">We defined </w:t>
      </w:r>
      <w:r>
        <w:rPr>
          <w:rFonts w:ascii="Times New Roman" w:hAnsi="Times New Roman"/>
          <w:i/>
          <w:sz w:val="20"/>
        </w:rPr>
        <w:t>evidence-closed narration</w:t>
      </w:r>
      <w:r>
        <w:rPr>
          <w:rFonts w:ascii="Times New Roman" w:hAnsi="Times New Roman"/>
          <w:sz w:val="20"/>
        </w:rPr>
        <w:t xml:space="preserve">, the class of tasks whose citable entities and verifiable quantities are finite and machine-enumerable at call time, and showed that for this class faithfulness is decidable (Prop. 1), soundness is enforceable by safe deletion while completeness is only detectable (Prop. 2), and fabrication is therefore preventable by construction. The two-tier evidence-bound contract realizing this ships in the production narrator of mlcompass and was measured live on a synthetic and a real-data leakage task: bare narrators fabricated at 11.5% and 43.5% (and anywhere from 1% to 100% across six rule-free paraphrases of the same instruction), while the contract held the user-facing rate at 0/200 on every channel of both tasks, and its deterministic verifier demonstrably caught 80 live violations in the stress configurations (76 on the real-data task), with named corrective feedback cutting repeat violations from 37.5% to 1.3%. We frame the contribution honestly: not a new decoding algorithm, but a decidable-class framing, a provider-independent contract with two formal observations, and first measurements, including the paraphrase sweep that, we believe, is the clearest quantitative argument yet that prompt-level faithfulness cannot be certified. Future work is a research program: a public narrator-fabrication benchmark across providers, tasks, and leak patterns; verified claims over derived and relational statistics; contract composition across multi-step agent chains, where each step's enum derives from the </w:t>
      </w:r>
      <w:r>
        <w:rPr>
          <w:rFonts w:ascii="Times New Roman" w:hAnsi="Times New Roman"/>
          <w:i/>
          <w:sz w:val="20"/>
        </w:rPr>
        <w:t>verified</w:t>
      </w:r>
      <w:r>
        <w:rPr>
          <w:rFonts w:ascii="Times New Roman" w:hAnsi="Times New Roman"/>
          <w:sz w:val="20"/>
        </w:rPr>
        <w:t xml:space="preserve"> output of the previous one; and transposition to other evidence-closed narrators beyond ML tooling.</w:t>
      </w:r>
    </w:p>
    <w:p>
      <w:pPr>
        <w:spacing w:before="0" w:after="60"/>
        <w:ind w:firstLine="288"/>
        <w:jc w:val="both"/>
      </w:pPr>
      <w:r>
        <w:rPr>
          <w:rFonts w:ascii="Times New Roman" w:hAnsi="Times New Roman"/>
          <w:b/>
          <w:sz w:val="20"/>
        </w:rPr>
        <w:t>Source code:</w:t>
      </w:r>
      <w:r>
        <w:rPr>
          <w:rFonts w:ascii="Times New Roman" w:hAnsi="Times New Roman"/>
          <w:sz w:val="20"/>
        </w:rPr>
        <w:t xml:space="preserve"> github.com/hakansabunis/mlcompass — </w:t>
      </w:r>
      <w:r>
        <w:rPr>
          <w:rFonts w:ascii="Times New Roman" w:hAnsi="Times New Roman"/>
          <w:b/>
          <w:sz w:val="20"/>
        </w:rPr>
        <w:t>Package:</w:t>
      </w:r>
      <w:r>
        <w:rPr>
          <w:rFonts w:ascii="Times New Roman" w:hAnsi="Times New Roman"/>
          <w:sz w:val="20"/>
        </w:rPr>
        <w:t xml:space="preserve"> PyPI, MIT license. All prompts, seeds, the measurement harness, and raw live-run records are in the repository.</w:t>
      </w:r>
    </w:p>
    <w:p>
      <w:pPr>
        <w:spacing w:before="160" w:after="80"/>
        <w:ind w:firstLine="0"/>
        <w:jc w:val="center"/>
      </w:pPr>
      <w:r>
        <w:rPr>
          <w:rFonts w:ascii="Times New Roman" w:hAnsi="Times New Roman"/>
          <w:b/>
          <w:sz w:val="20"/>
        </w:rPr>
        <w:t>REFERENCES</w:t>
      </w:r>
    </w:p>
    <w:p>
      <w:pPr>
        <w:spacing w:after="40"/>
        <w:ind w:hanging="288" w:left="288"/>
        <w:jc w:val="both"/>
      </w:pPr>
      <w:r>
        <w:rPr>
          <w:rFonts w:ascii="Times New Roman" w:hAnsi="Times New Roman"/>
          <w:sz w:val="18"/>
        </w:rPr>
        <w:t xml:space="preserve">[1] Z. Ji </w:t>
      </w:r>
      <w:r>
        <w:rPr>
          <w:rFonts w:ascii="Times New Roman" w:hAnsi="Times New Roman"/>
          <w:i/>
          <w:sz w:val="18"/>
        </w:rPr>
        <w:t>et al.</w:t>
      </w:r>
      <w:r>
        <w:rPr>
          <w:rFonts w:ascii="Times New Roman" w:hAnsi="Times New Roman"/>
          <w:sz w:val="18"/>
        </w:rPr>
        <w:t xml:space="preserve">, "Survey of hallucination in natural language generation," </w:t>
      </w:r>
      <w:r>
        <w:rPr>
          <w:rFonts w:ascii="Times New Roman" w:hAnsi="Times New Roman"/>
          <w:i/>
          <w:sz w:val="18"/>
        </w:rPr>
        <w:t>ACM Comput. Surv.</w:t>
      </w:r>
      <w:r>
        <w:rPr>
          <w:rFonts w:ascii="Times New Roman" w:hAnsi="Times New Roman"/>
          <w:sz w:val="18"/>
        </w:rPr>
        <w:t>, vol. 55, no. 12, Art. 248, 2023.</w:t>
      </w:r>
    </w:p>
    <w:p>
      <w:pPr>
        <w:spacing w:after="40"/>
        <w:ind w:hanging="288" w:left="288"/>
        <w:jc w:val="both"/>
      </w:pPr>
      <w:r>
        <w:rPr>
          <w:rFonts w:ascii="Times New Roman" w:hAnsi="Times New Roman"/>
          <w:sz w:val="18"/>
        </w:rPr>
        <w:t xml:space="preserve">[2] L. Huang </w:t>
      </w:r>
      <w:r>
        <w:rPr>
          <w:rFonts w:ascii="Times New Roman" w:hAnsi="Times New Roman"/>
          <w:i/>
          <w:sz w:val="18"/>
        </w:rPr>
        <w:t>et al.</w:t>
      </w:r>
      <w:r>
        <w:rPr>
          <w:rFonts w:ascii="Times New Roman" w:hAnsi="Times New Roman"/>
          <w:sz w:val="18"/>
        </w:rPr>
        <w:t xml:space="preserve">, "A survey on hallucination in large language models: Principles, taxonomy, challenges, and open questions," </w:t>
      </w:r>
      <w:r>
        <w:rPr>
          <w:rFonts w:ascii="Times New Roman" w:hAnsi="Times New Roman"/>
          <w:i/>
          <w:sz w:val="18"/>
        </w:rPr>
        <w:t>arXiv:2311.05232</w:t>
      </w:r>
      <w:r>
        <w:rPr>
          <w:rFonts w:ascii="Times New Roman" w:hAnsi="Times New Roman"/>
          <w:sz w:val="18"/>
        </w:rPr>
        <w:t>, 2023.</w:t>
      </w:r>
    </w:p>
    <w:p>
      <w:pPr>
        <w:spacing w:after="40"/>
        <w:ind w:hanging="288" w:left="288"/>
        <w:jc w:val="both"/>
      </w:pPr>
      <w:r>
        <w:rPr>
          <w:rFonts w:ascii="Times New Roman" w:hAnsi="Times New Roman"/>
          <w:sz w:val="18"/>
        </w:rPr>
        <w:t xml:space="preserve">[3] M. Chen </w:t>
      </w:r>
      <w:r>
        <w:rPr>
          <w:rFonts w:ascii="Times New Roman" w:hAnsi="Times New Roman"/>
          <w:i/>
          <w:sz w:val="18"/>
        </w:rPr>
        <w:t>et al.</w:t>
      </w:r>
      <w:r>
        <w:rPr>
          <w:rFonts w:ascii="Times New Roman" w:hAnsi="Times New Roman"/>
          <w:sz w:val="18"/>
        </w:rPr>
        <w:t xml:space="preserve">, "Evaluating large language models trained on code," </w:t>
      </w:r>
      <w:r>
        <w:rPr>
          <w:rFonts w:ascii="Times New Roman" w:hAnsi="Times New Roman"/>
          <w:i/>
          <w:sz w:val="18"/>
        </w:rPr>
        <w:t>arXiv:2107.03374</w:t>
      </w:r>
      <w:r>
        <w:rPr>
          <w:rFonts w:ascii="Times New Roman" w:hAnsi="Times New Roman"/>
          <w:sz w:val="18"/>
        </w:rPr>
        <w:t>, 2021.</w:t>
      </w:r>
    </w:p>
    <w:p>
      <w:pPr>
        <w:spacing w:after="40"/>
        <w:ind w:hanging="288" w:left="288"/>
        <w:jc w:val="both"/>
      </w:pPr>
      <w:r>
        <w:rPr>
          <w:rFonts w:ascii="Times New Roman" w:hAnsi="Times New Roman"/>
          <w:sz w:val="18"/>
        </w:rPr>
        <w:t xml:space="preserve">[4] C. E. Jimenez </w:t>
      </w:r>
      <w:r>
        <w:rPr>
          <w:rFonts w:ascii="Times New Roman" w:hAnsi="Times New Roman"/>
          <w:i/>
          <w:sz w:val="18"/>
        </w:rPr>
        <w:t>et al.</w:t>
      </w:r>
      <w:r>
        <w:rPr>
          <w:rFonts w:ascii="Times New Roman" w:hAnsi="Times New Roman"/>
          <w:sz w:val="18"/>
        </w:rPr>
        <w:t xml:space="preserve">, "SWE-bench: Can language models resolve real-world GitHub issues?" in </w:t>
      </w:r>
      <w:r>
        <w:rPr>
          <w:rFonts w:ascii="Times New Roman" w:hAnsi="Times New Roman"/>
          <w:i/>
          <w:sz w:val="18"/>
        </w:rPr>
        <w:t>Proc. Int. Conf. Learn. Representations (ICLR)</w:t>
      </w:r>
      <w:r>
        <w:rPr>
          <w:rFonts w:ascii="Times New Roman" w:hAnsi="Times New Roman"/>
          <w:sz w:val="18"/>
        </w:rPr>
        <w:t>, 2024.</w:t>
      </w:r>
    </w:p>
    <w:p>
      <w:pPr>
        <w:spacing w:after="40"/>
        <w:ind w:hanging="288" w:left="288"/>
        <w:jc w:val="both"/>
      </w:pPr>
      <w:r>
        <w:rPr>
          <w:rFonts w:ascii="Times New Roman" w:hAnsi="Times New Roman"/>
          <w:sz w:val="18"/>
        </w:rPr>
        <w:t xml:space="preserve">[5] S. Yao </w:t>
      </w:r>
      <w:r>
        <w:rPr>
          <w:rFonts w:ascii="Times New Roman" w:hAnsi="Times New Roman"/>
          <w:i/>
          <w:sz w:val="18"/>
        </w:rPr>
        <w:t>et al.</w:t>
      </w:r>
      <w:r>
        <w:rPr>
          <w:rFonts w:ascii="Times New Roman" w:hAnsi="Times New Roman"/>
          <w:sz w:val="18"/>
        </w:rPr>
        <w:t xml:space="preserve">, "ReAct: Synergizing reasoning and acting in language models," in </w:t>
      </w:r>
      <w:r>
        <w:rPr>
          <w:rFonts w:ascii="Times New Roman" w:hAnsi="Times New Roman"/>
          <w:i/>
          <w:sz w:val="18"/>
        </w:rPr>
        <w:t>Proc. Int. Conf. Learn. Representations (ICLR)</w:t>
      </w:r>
      <w:r>
        <w:rPr>
          <w:rFonts w:ascii="Times New Roman" w:hAnsi="Times New Roman"/>
          <w:sz w:val="18"/>
        </w:rPr>
        <w:t>, 2023.</w:t>
      </w:r>
    </w:p>
    <w:p>
      <w:pPr>
        <w:spacing w:after="40"/>
        <w:ind w:hanging="288" w:left="288"/>
        <w:jc w:val="both"/>
      </w:pPr>
      <w:r>
        <w:rPr>
          <w:rFonts w:ascii="Times New Roman" w:hAnsi="Times New Roman"/>
          <w:sz w:val="18"/>
        </w:rPr>
        <w:t xml:space="preserve">[6] T. Schick </w:t>
      </w:r>
      <w:r>
        <w:rPr>
          <w:rFonts w:ascii="Times New Roman" w:hAnsi="Times New Roman"/>
          <w:i/>
          <w:sz w:val="18"/>
        </w:rPr>
        <w:t>et al.</w:t>
      </w:r>
      <w:r>
        <w:rPr>
          <w:rFonts w:ascii="Times New Roman" w:hAnsi="Times New Roman"/>
          <w:sz w:val="18"/>
        </w:rPr>
        <w:t xml:space="preserve">, "Toolformer: Language models can teach themselves to use tools," in </w:t>
      </w:r>
      <w:r>
        <w:rPr>
          <w:rFonts w:ascii="Times New Roman" w:hAnsi="Times New Roman"/>
          <w:i/>
          <w:sz w:val="18"/>
        </w:rPr>
        <w:t>Proc. Adv. Neural Inf. Process. Syst. (NeurIPS)</w:t>
      </w:r>
      <w:r>
        <w:rPr>
          <w:rFonts w:ascii="Times New Roman" w:hAnsi="Times New Roman"/>
          <w:sz w:val="18"/>
        </w:rPr>
        <w:t>, 2023.</w:t>
      </w:r>
    </w:p>
    <w:p>
      <w:pPr>
        <w:spacing w:after="40"/>
        <w:ind w:hanging="288" w:left="288"/>
        <w:jc w:val="both"/>
      </w:pPr>
      <w:r>
        <w:rPr>
          <w:rFonts w:ascii="Times New Roman" w:hAnsi="Times New Roman"/>
          <w:sz w:val="18"/>
        </w:rPr>
        <w:t>[7] Model Context Protocol specification, 2024. [Online]. Available: https://modelcontextprotocol.io</w:t>
      </w:r>
    </w:p>
    <w:p>
      <w:pPr>
        <w:spacing w:after="40"/>
        <w:ind w:hanging="288" w:left="288"/>
        <w:jc w:val="both"/>
      </w:pPr>
      <w:r>
        <w:rPr>
          <w:rFonts w:ascii="Times New Roman" w:hAnsi="Times New Roman"/>
          <w:sz w:val="18"/>
        </w:rPr>
        <w:t xml:space="preserve">[8] B. T. Willard and R. Louf, "Efficient guided generation for large language models," </w:t>
      </w:r>
      <w:r>
        <w:rPr>
          <w:rFonts w:ascii="Times New Roman" w:hAnsi="Times New Roman"/>
          <w:i/>
          <w:sz w:val="18"/>
        </w:rPr>
        <w:t>arXiv:2307.09702</w:t>
      </w:r>
      <w:r>
        <w:rPr>
          <w:rFonts w:ascii="Times New Roman" w:hAnsi="Times New Roman"/>
          <w:sz w:val="18"/>
        </w:rPr>
        <w:t>, 2023.</w:t>
      </w:r>
    </w:p>
    <w:p>
      <w:pPr>
        <w:spacing w:after="40"/>
        <w:ind w:hanging="288" w:left="288"/>
        <w:jc w:val="both"/>
      </w:pPr>
      <w:r>
        <w:rPr>
          <w:rFonts w:ascii="Times New Roman" w:hAnsi="Times New Roman"/>
          <w:sz w:val="18"/>
        </w:rPr>
        <w:t xml:space="preserve">[9] L. Beurer-Kellner, M. Fischer, and M. Vechev, "Prompting is programming: A query language for large language models," </w:t>
      </w:r>
      <w:r>
        <w:rPr>
          <w:rFonts w:ascii="Times New Roman" w:hAnsi="Times New Roman"/>
          <w:i/>
          <w:sz w:val="18"/>
        </w:rPr>
        <w:t>Proc. ACM Program. Lang.</w:t>
      </w:r>
      <w:r>
        <w:rPr>
          <w:rFonts w:ascii="Times New Roman" w:hAnsi="Times New Roman"/>
          <w:sz w:val="18"/>
        </w:rPr>
        <w:t>, vol. 7, no. PLDI, pp. 1946–1969, 2023.</w:t>
      </w:r>
    </w:p>
    <w:p>
      <w:pPr>
        <w:spacing w:after="40"/>
        <w:ind w:hanging="288" w:left="288"/>
        <w:jc w:val="both"/>
      </w:pPr>
      <w:r>
        <w:rPr>
          <w:rFonts w:ascii="Times New Roman" w:hAnsi="Times New Roman"/>
          <w:sz w:val="18"/>
        </w:rPr>
        <w:t xml:space="preserve">[10] S. Geng, M. Josifoski, M. Peyrard, and R. West, "Grammar-constrained decoding for structured NLP tasks without finetuning," in </w:t>
      </w:r>
      <w:r>
        <w:rPr>
          <w:rFonts w:ascii="Times New Roman" w:hAnsi="Times New Roman"/>
          <w:i/>
          <w:sz w:val="18"/>
        </w:rPr>
        <w:t>Proc. Conf. Empirical Methods Natural Lang. Process. (EMNLP)</w:t>
      </w:r>
      <w:r>
        <w:rPr>
          <w:rFonts w:ascii="Times New Roman" w:hAnsi="Times New Roman"/>
          <w:sz w:val="18"/>
        </w:rPr>
        <w:t>, 2023, pp. 10932–10952.</w:t>
      </w:r>
    </w:p>
    <w:p>
      <w:pPr>
        <w:spacing w:after="40"/>
        <w:ind w:hanging="288" w:left="288"/>
        <w:jc w:val="both"/>
      </w:pPr>
      <w:r>
        <w:rPr>
          <w:rFonts w:ascii="Times New Roman" w:hAnsi="Times New Roman"/>
          <w:sz w:val="18"/>
        </w:rPr>
        <w:t>[11] Guidance: A guidance language for controlling large language models, 2023. [Online]. Available: https://github.com/guidance-ai/guidance</w:t>
      </w:r>
    </w:p>
    <w:p>
      <w:pPr>
        <w:spacing w:after="40"/>
        <w:ind w:hanging="288" w:left="288"/>
        <w:jc w:val="both"/>
      </w:pPr>
      <w:r>
        <w:rPr>
          <w:rFonts w:ascii="Times New Roman" w:hAnsi="Times New Roman"/>
          <w:sz w:val="18"/>
        </w:rPr>
        <w:t>[12] Structured outputs for schema-constrained tool use, 2024. [Online]. Available: https://platform.openai.com/docs/guides/structured-outputs</w:t>
      </w:r>
    </w:p>
    <w:p>
      <w:pPr>
        <w:spacing w:after="40"/>
        <w:ind w:hanging="288" w:left="288"/>
        <w:jc w:val="both"/>
      </w:pPr>
      <w:r>
        <w:rPr>
          <w:rFonts w:ascii="Times New Roman" w:hAnsi="Times New Roman"/>
          <w:sz w:val="18"/>
        </w:rPr>
        <w:t>[13] ydata-profiling: Automated exploratory data analysis for pandas DataFrames. [Online]. Available: https://github.com/ydataai/ydata-profiling</w:t>
      </w:r>
    </w:p>
    <w:p>
      <w:pPr>
        <w:spacing w:after="40"/>
        <w:ind w:hanging="288" w:left="288"/>
        <w:jc w:val="both"/>
      </w:pPr>
      <w:r>
        <w:rPr>
          <w:rFonts w:ascii="Times New Roman" w:hAnsi="Times New Roman"/>
          <w:sz w:val="18"/>
        </w:rPr>
        <w:t xml:space="preserve">[14] M. Zaharia </w:t>
      </w:r>
      <w:r>
        <w:rPr>
          <w:rFonts w:ascii="Times New Roman" w:hAnsi="Times New Roman"/>
          <w:i/>
          <w:sz w:val="18"/>
        </w:rPr>
        <w:t>et al.</w:t>
      </w:r>
      <w:r>
        <w:rPr>
          <w:rFonts w:ascii="Times New Roman" w:hAnsi="Times New Roman"/>
          <w:sz w:val="18"/>
        </w:rPr>
        <w:t xml:space="preserve">, "Accelerating the machine learning lifecycle with MLflow," </w:t>
      </w:r>
      <w:r>
        <w:rPr>
          <w:rFonts w:ascii="Times New Roman" w:hAnsi="Times New Roman"/>
          <w:i/>
          <w:sz w:val="18"/>
        </w:rPr>
        <w:t>IEEE Data Eng. Bull.</w:t>
      </w:r>
      <w:r>
        <w:rPr>
          <w:rFonts w:ascii="Times New Roman" w:hAnsi="Times New Roman"/>
          <w:sz w:val="18"/>
        </w:rPr>
        <w:t>, vol. 41, no. 4, pp. 39–45, 2018.</w:t>
      </w:r>
    </w:p>
    <w:p>
      <w:pPr>
        <w:spacing w:after="40"/>
        <w:ind w:hanging="288" w:left="288"/>
        <w:jc w:val="both"/>
      </w:pPr>
      <w:r>
        <w:rPr>
          <w:rFonts w:ascii="Times New Roman" w:hAnsi="Times New Roman"/>
          <w:sz w:val="18"/>
        </w:rPr>
        <w:t xml:space="preserve">[15] M. Abadi </w:t>
      </w:r>
      <w:r>
        <w:rPr>
          <w:rFonts w:ascii="Times New Roman" w:hAnsi="Times New Roman"/>
          <w:i/>
          <w:sz w:val="18"/>
        </w:rPr>
        <w:t>et al.</w:t>
      </w:r>
      <w:r>
        <w:rPr>
          <w:rFonts w:ascii="Times New Roman" w:hAnsi="Times New Roman"/>
          <w:sz w:val="18"/>
        </w:rPr>
        <w:t xml:space="preserve">, "TensorFlow: A system for large-scale machine learning," in </w:t>
      </w:r>
      <w:r>
        <w:rPr>
          <w:rFonts w:ascii="Times New Roman" w:hAnsi="Times New Roman"/>
          <w:i/>
          <w:sz w:val="18"/>
        </w:rPr>
        <w:t>Proc. USENIX Symp. Operating Syst. Design Implementation (OSDI)</w:t>
      </w:r>
      <w:r>
        <w:rPr>
          <w:rFonts w:ascii="Times New Roman" w:hAnsi="Times New Roman"/>
          <w:sz w:val="18"/>
        </w:rPr>
        <w:t>, 2016, pp. 265–283.</w:t>
      </w:r>
    </w:p>
    <w:p>
      <w:pPr>
        <w:spacing w:after="40"/>
        <w:ind w:hanging="288" w:left="288"/>
        <w:jc w:val="both"/>
      </w:pPr>
      <w:r>
        <w:rPr>
          <w:rFonts w:ascii="Times New Roman" w:hAnsi="Times New Roman"/>
          <w:sz w:val="18"/>
        </w:rPr>
        <w:t xml:space="preserve">[16] M. Feurer </w:t>
      </w:r>
      <w:r>
        <w:rPr>
          <w:rFonts w:ascii="Times New Roman" w:hAnsi="Times New Roman"/>
          <w:i/>
          <w:sz w:val="18"/>
        </w:rPr>
        <w:t>et al.</w:t>
      </w:r>
      <w:r>
        <w:rPr>
          <w:rFonts w:ascii="Times New Roman" w:hAnsi="Times New Roman"/>
          <w:sz w:val="18"/>
        </w:rPr>
        <w:t xml:space="preserve">, "Efficient and robust automated machine learning," in </w:t>
      </w:r>
      <w:r>
        <w:rPr>
          <w:rFonts w:ascii="Times New Roman" w:hAnsi="Times New Roman"/>
          <w:i/>
          <w:sz w:val="18"/>
        </w:rPr>
        <w:t>Proc. Adv. Neural Inf. Process. Syst. (NeurIPS)</w:t>
      </w:r>
      <w:r>
        <w:rPr>
          <w:rFonts w:ascii="Times New Roman" w:hAnsi="Times New Roman"/>
          <w:sz w:val="18"/>
        </w:rPr>
        <w:t>, 2015, pp. 2962–2970.</w:t>
      </w:r>
    </w:p>
    <w:p>
      <w:pPr>
        <w:spacing w:after="40"/>
        <w:ind w:hanging="288" w:left="288"/>
        <w:jc w:val="both"/>
      </w:pPr>
      <w:r>
        <w:rPr>
          <w:rFonts w:ascii="Times New Roman" w:hAnsi="Times New Roman"/>
          <w:sz w:val="18"/>
        </w:rPr>
        <w:t xml:space="preserve">[17] S. Kaufman, S. Rosset, C. Perlich, and O. Stitelman, "Leakage in data mining: Formulation, detection, and avoidance," </w:t>
      </w:r>
      <w:r>
        <w:rPr>
          <w:rFonts w:ascii="Times New Roman" w:hAnsi="Times New Roman"/>
          <w:i/>
          <w:sz w:val="18"/>
        </w:rPr>
        <w:t>ACM Trans. Knowl. Discovery Data</w:t>
      </w:r>
      <w:r>
        <w:rPr>
          <w:rFonts w:ascii="Times New Roman" w:hAnsi="Times New Roman"/>
          <w:sz w:val="18"/>
        </w:rPr>
        <w:t>, vol. 6, no. 4, Art. 15, 2012.</w:t>
      </w:r>
    </w:p>
    <w:p>
      <w:pPr>
        <w:spacing w:after="40"/>
        <w:ind w:hanging="288" w:left="288"/>
        <w:jc w:val="both"/>
      </w:pPr>
      <w:r>
        <w:rPr>
          <w:rFonts w:ascii="Times New Roman" w:hAnsi="Times New Roman"/>
          <w:sz w:val="18"/>
        </w:rPr>
        <w:t>[18] Guardrails AI: Adding guardrails to large language models. [Online]. Available: https://github.com/guardrails-ai/guardrails</w:t>
      </w:r>
    </w:p>
    <w:p>
      <w:pPr>
        <w:spacing w:after="40"/>
        <w:ind w:hanging="288" w:left="288"/>
        <w:jc w:val="both"/>
      </w:pPr>
      <w:r>
        <w:rPr>
          <w:rFonts w:ascii="Times New Roman" w:hAnsi="Times New Roman"/>
          <w:sz w:val="18"/>
        </w:rPr>
        <w:t xml:space="preserve">[19] T. Rebedea, R. Dinu, M. N. Sreedhar, C. Parisien, and J. Cohen, "NeMo Guardrails: A toolkit for controllable and safe LLM applications with programmable rails," in </w:t>
      </w:r>
      <w:r>
        <w:rPr>
          <w:rFonts w:ascii="Times New Roman" w:hAnsi="Times New Roman"/>
          <w:i/>
          <w:sz w:val="18"/>
        </w:rPr>
        <w:t>Proc. EMNLP: System Demonstrations</w:t>
      </w:r>
      <w:r>
        <w:rPr>
          <w:rFonts w:ascii="Times New Roman" w:hAnsi="Times New Roman"/>
          <w:sz w:val="18"/>
        </w:rPr>
        <w:t>, 2023, pp. 431–445.</w:t>
      </w:r>
    </w:p>
    <w:sectPr w:rsidR="00FC693F" w:rsidRPr="0006063C" w:rsidSect="00034616">
      <w:type w:val="continuous"/>
      <w:pgSz w:w="12240" w:h="15840"/>
      <w:pgMar w:top="1080" w:right="1080" w:bottom="1440" w:left="108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ind w:firstLine="288"/>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