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LLM agents increasingly explain what deterministic tools have measured, and the explanations are not reliable: the agent will cite columns, defects, or numbers that are absent from the upstream evidence or contradict it. Our starting point is that this setting is easier than hallucination in general. What the narrator may cite is finite and machine-enumerable at call time, a property we call </w:t>
      </w:r>
      <w:r>
        <w:rPr>
          <w:rFonts w:ascii="Times New Roman" w:hAnsi="Times New Roman"/>
          <w:i/>
          <w:sz w:val="20"/>
        </w:rPr>
        <w:t>evidence-closed</w:t>
      </w:r>
      <w:r>
        <w:rPr>
          <w:rFonts w:ascii="Times New Roman" w:hAnsi="Times New Roman"/>
          <w:sz w:val="20"/>
        </w:rPr>
        <w:t xml:space="preserve">; faithfulness can therefore be checked exactly rather than estimated, and fabrication can be prevented outright instead of statistically reduced. We build the check into a two-tier </w:t>
      </w:r>
      <w:r>
        <w:rPr>
          <w:rFonts w:ascii="Times New Roman" w:hAnsi="Times New Roman"/>
          <w:i/>
          <w:sz w:val="20"/>
        </w:rPr>
        <w:t>evidence-bound runtime schema</w:t>
      </w:r>
      <w:r>
        <w:rPr>
          <w:rFonts w:ascii="Times New Roman" w:hAnsi="Times New Roman"/>
          <w:sz w:val="20"/>
        </w:rPr>
        <w:t xml:space="preserve">. Tier A generates the </w:t>
      </w:r>
      <w:r>
        <w:rPr>
          <w:rFonts w:ascii="Consolas" w:hAnsi="Consolas"/>
          <w:sz w:val="18"/>
        </w:rPr>
        <w:t>enum</w:t>
      </w:r>
      <w:r>
        <w:rPr>
          <w:rFonts w:ascii="Times New Roman" w:hAnsi="Times New Roman"/>
          <w:sz w:val="20"/>
        </w:rPr>
        <w:t xml:space="preserve"> domains of the tool-input schema from the evidence at call time. Tier B re-verifies the returned answer in plain code (entity soundness, claim-value soundness, completeness) with corrective retry, stripping, and flagging, and needs no trust in provider schema enforcement. Two short formal observations carry the design: verification is linear-time, and deletion repairs soundness safely while no safe repair exists for completeness. Live measurements (N = 200 per cell) back this up. Across six rule-free paraphrases of one instruction, the bare narrator fabricated on identical evidence at rates from 1% to 100%; the contract held the user-facing rate at 0/200 on all three channels of a synthetic and a real-data leakage task; under stress the verifier caught 76 live violations, passed none through,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Machine-learning practice runs on a patchwork of single-purpose tools. A profiling library inspects the dataset [13], experiment trackers log training runs [14], [15], and automated model search picks an estimator [16]. Each does one job well. None of them tells the engineer what the results mean, and the now-standard answer to that gap is agentic: put a large language model (LLM) on top, let it call the tools, read their structured output, and explain, following the pattern formalized by ReAct [5] and Toolformer [6] and operationalized by tool-integration standards [7].</w:t>
      </w:r>
    </w:p>
    <w:p>
      <w:pPr>
        <w:spacing w:before="0" w:after="60"/>
        <w:ind w:firstLine="288"/>
        <w:jc w:val="both"/>
      </w:pPr>
      <w:r>
        <w:rPr>
          <w:rFonts w:ascii="Times New Roman" w:hAnsi="Times New Roman"/>
          <w:sz w:val="20"/>
        </w:rPr>
        <w:t xml:space="preserve">The trouble is that LLMs hallucinate [1], [2], and assistants built on the same foundation models [3] still fail real software tasks at substantial rates [4]. In an advisory ML setting the failure takes a specific form. The narrated object is </w:t>
      </w:r>
      <w:r>
        <w:rPr>
          <w:rFonts w:ascii="Times New Roman" w:hAnsi="Times New Roman"/>
          <w:i/>
          <w:sz w:val="20"/>
        </w:rPr>
        <w:t>structured evidence</w:t>
      </w:r>
      <w:r>
        <w:rPr>
          <w:rFonts w:ascii="Times New Roman" w:hAnsi="Times New Roman"/>
          <w:sz w:val="20"/>
        </w:rPr>
        <w:t xml:space="preserve">, a dictionary of facts that a deterministic tool actually measured, and the narrator can invent members of it: a column the data does not contain, a defect nobody detected, a number that contradicts the report. We call this </w:t>
      </w:r>
      <w:r>
        <w:rPr>
          <w:rFonts w:ascii="Times New Roman" w:hAnsi="Times New Roman"/>
          <w:b/>
          <w:sz w:val="20"/>
        </w:rPr>
        <w:t>phantom-entity fabrication</w:t>
      </w:r>
      <w:r>
        <w:rPr>
          <w:rFonts w:ascii="Times New Roman" w:hAnsi="Times New Roman"/>
          <w:sz w:val="20"/>
        </w:rPr>
        <w:t xml:space="preserve">. In the taxonomy of Ji </w:t>
      </w:r>
      <w:r>
        <w:rPr>
          <w:rFonts w:ascii="Times New Roman" w:hAnsi="Times New Roman"/>
          <w:i/>
          <w:sz w:val="20"/>
        </w:rPr>
        <w:t>et al.</w:t>
      </w:r>
      <w:r>
        <w:rPr>
          <w:rFonts w:ascii="Times New Roman" w:hAnsi="Times New Roman"/>
          <w:sz w:val="20"/>
        </w:rPr>
        <w:t xml:space="preserve"> [1] it is a closed-world faithfulness failure, extrinsic when an entity is invented and intrinsic when a quantity contradicts the source, but the source here happens to be fully enumerable. The cost is concrete. A wrong diagnosis delivered fluently is worse than no diagnosis, because the practitioner acts on it.</w:t>
      </w:r>
    </w:p>
    <w:p>
      <w:pPr>
        <w:spacing w:before="0" w:after="60"/>
        <w:ind w:firstLine="288"/>
        <w:jc w:val="both"/>
      </w:pPr>
      <w:r>
        <w:rPr>
          <w:rFonts w:ascii="Times New Roman" w:hAnsi="Times New Roman"/>
          <w:sz w:val="20"/>
        </w:rPr>
        <w:t xml:space="preserve">That enumerability is what this paper is built on.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Once a task is evidence-closed, faithfulness checking stops being a modeling problem. Entity citations are set-membership tests, quantitative claims are numeric comparisons, and coverage of the critical finding is one more membership test. The check is </w:t>
      </w:r>
      <w:r>
        <w:rPr>
          <w:rFonts w:ascii="Times New Roman" w:hAnsi="Times New Roman"/>
          <w:i/>
          <w:sz w:val="20"/>
        </w:rPr>
        <w:t>decidable</w:t>
      </w:r>
      <w:r>
        <w:rPr>
          <w:rFonts w:ascii="Times New Roman" w:hAnsi="Times New Roman"/>
          <w:sz w:val="20"/>
        </w:rPr>
        <w:t xml:space="preserve">, which changes the sensible goal from </w:t>
      </w:r>
      <w:r>
        <w:rPr>
          <w:rFonts w:ascii="Times New Roman" w:hAnsi="Times New Roman"/>
          <w:i/>
          <w:sz w:val="20"/>
        </w:rPr>
        <w:t>mitigation</w:t>
      </w:r>
      <w:r>
        <w:rPr>
          <w:rFonts w:ascii="Times New Roman" w:hAnsi="Times New Roman"/>
          <w:sz w:val="20"/>
        </w:rPr>
        <w:t xml:space="preserve">, pushing a fabrication probability down, to </w:t>
      </w:r>
      <w:r>
        <w:rPr>
          <w:rFonts w:ascii="Times New Roman" w:hAnsi="Times New Roman"/>
          <w:i/>
          <w:sz w:val="20"/>
        </w:rPr>
        <w:t>prevention</w:t>
      </w:r>
      <w:r>
        <w:rPr>
          <w:rFonts w:ascii="Times New Roman" w:hAnsi="Times New Roman"/>
          <w:sz w:val="20"/>
        </w:rPr>
        <w:t>, making an unfaithful answer impossible to return.</w:t>
      </w:r>
    </w:p>
    <w:p>
      <w:pPr>
        <w:spacing w:before="0" w:after="60"/>
        <w:ind w:firstLine="288"/>
        <w:jc w:val="both"/>
      </w:pPr>
      <w:r>
        <w:rPr>
          <w:rFonts w:ascii="Times New Roman" w:hAnsi="Times New Roman"/>
          <w:sz w:val="20"/>
        </w:rPr>
        <w:t>Constrained generation looks like the natural tool for this. Outlines [8], LMQL [9], grammar-constrained decoding [10], and Guidance [11] restrict what a model may emit during decoding, and provider tool-use APIs validate calls against a declared JSON schema [12]. Input-dependent grammars exist too [10]. Two things still go wrong in our setting. Decoding-time enforcement needs access to the token distribution, and commercial APIs do not expose it. A per-call schema, in turn, only helps if the provider's enforcement is trusted, and for a safety claim it should not be.</w:t>
      </w:r>
    </w:p>
    <w:p>
      <w:pPr>
        <w:spacing w:before="0" w:after="60"/>
        <w:ind w:firstLine="288"/>
        <w:jc w:val="both"/>
      </w:pPr>
      <w:r>
        <w:rPr>
          <w:rFonts w:ascii="Times New Roman" w:hAnsi="Times New Roman"/>
          <w:sz w:val="20"/>
        </w:rPr>
        <w:t xml:space="preserve">Our answer is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w:t>
      </w:r>
      <w:r>
        <w:rPr>
          <w:rFonts w:ascii="Times New Roman" w:hAnsi="Times New Roman"/>
          <w:sz w:val="20"/>
        </w:rPr>
        <w:t xml:space="preserve"> generates the </w:t>
      </w:r>
      <w:r>
        <w:rPr>
          <w:rFonts w:ascii="Consolas" w:hAnsi="Consolas"/>
          <w:sz w:val="18"/>
        </w:rPr>
        <w:t>enum</w:t>
      </w:r>
      <w:r>
        <w:rPr>
          <w:rFonts w:ascii="Times New Roman" w:hAnsi="Times New Roman"/>
          <w:sz w:val="20"/>
        </w:rPr>
        <w:t xml:space="preserve"> domains of the narrator's tool-input fields from the deterministic evidence dictionary at call time, which constrains generation as far as a closed API allows. </w:t>
      </w:r>
      <w:r>
        <w:rPr>
          <w:rFonts w:ascii="Times New Roman" w:hAnsi="Times New Roman"/>
          <w:i/>
          <w:sz w:val="20"/>
        </w:rPr>
        <w:t>Tier B</w:t>
      </w:r>
      <w:r>
        <w:rPr>
          <w:rFonts w:ascii="Times New Roman" w:hAnsi="Times New Roman"/>
          <w:sz w:val="20"/>
        </w:rPr>
        <w:t xml:space="preserve"> takes over where trust ends. Plain code re-checks the returned answer on three channels: entity soundness; value soundness of structured </w:t>
      </w:r>
      <w:r>
        <w:rPr>
          <w:rFonts w:ascii="Consolas" w:hAnsi="Consolas"/>
          <w:sz w:val="18"/>
        </w:rPr>
        <w:t>{column, statistic, value}</w:t>
      </w:r>
      <w:r>
        <w:rPr>
          <w:rFonts w:ascii="Times New Roman" w:hAnsi="Times New Roman"/>
          <w:sz w:val="20"/>
        </w:rPr>
        <w:t xml:space="preserve"> claims, with a small tolerance so honest rounding passes; and completeness with respect to the top-ranked candidate. A violation triggers a corrective retry. When the retry budget runs out, unsound entities and claims are stripped and a persistent omission is flagged. What survives is a guarantee that owes nothing to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these channels, and renderers surface the validated fields as the actionable output. None of the checks is sophisticated, and that is the point. Decidability is what makes such simple checks sufficient (Sec. III-C), and it is why the guarantee can be absolute in a place where decoding-time machinery cannot run at all.</w:t>
      </w:r>
    </w:p>
    <w:p>
      <w:pPr>
        <w:spacing w:before="0" w:after="60"/>
        <w:ind w:firstLine="288"/>
        <w:jc w:val="both"/>
      </w:pPr>
      <w:r>
        <w:rPr>
          <w:rFonts w:ascii="Times New Roman" w:hAnsi="Times New Roman"/>
          <w:sz w:val="20"/>
        </w:rPr>
        <w:t xml:space="preserve">The contract is not a prototype. It runs in the production narrator of </w:t>
      </w:r>
      <w:r>
        <w:rPr>
          <w:rFonts w:ascii="Times New Roman" w:hAnsi="Times New Roman"/>
          <w:b/>
          <w:sz w:val="20"/>
        </w:rPr>
        <w:t>mlcompass</w:t>
      </w:r>
      <w:r>
        <w:rPr>
          <w:rFonts w:ascii="Times New Roman" w:hAnsi="Times New Roman"/>
          <w:sz w:val="20"/>
        </w:rPr>
        <w:t>, an open-source (MIT) ML-pipeline assistant, guarding the investigation that fires when a metric looks too good to be true (e.g., R² &gt; 0.999), the classic signature of data leakage [17].</w:t>
      </w:r>
    </w:p>
    <w:p>
      <w:pPr>
        <w:spacing w:before="0" w:after="60"/>
        <w:ind w:firstLine="288"/>
        <w:jc w:val="both"/>
      </w:pPr>
      <w:r>
        <w:rPr>
          <w:rFonts w:ascii="Times New Roman" w:hAnsi="Times New Roman"/>
          <w:sz w:val="20"/>
        </w:rPr>
        <w:t>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The </w:t>
      </w:r>
      <w:r>
        <w:rPr>
          <w:rFonts w:ascii="Times New Roman" w:hAnsi="Times New Roman"/>
          <w:i/>
          <w:sz w:val="20"/>
        </w:rPr>
        <w:t>evidence-closed</w:t>
      </w:r>
      <w:r>
        <w:rPr>
          <w:rFonts w:ascii="Times New Roman" w:hAnsi="Times New Roman"/>
          <w:sz w:val="20"/>
        </w:rPr>
        <w:t xml:space="preserve"> class of narration tasks, with the two formal facts the design rests on: faithfulness verification is linear-time (Prop. 1), and deletion repairs soundness safely while completeness admits no safe repair (Prop. 2). The second fact is the structural reason the contract strips unsound content but only flags omissions (Sec. III-C).</w:t>
      </w:r>
    </w:p>
    <w:p>
      <w:pPr>
        <w:spacing w:after="40"/>
        <w:ind w:left="360" w:hanging="216"/>
        <w:jc w:val="both"/>
      </w:pPr>
      <w:r>
        <w:rPr>
          <w:rFonts w:ascii="Times New Roman" w:hAnsi="Times New Roman"/>
          <w:sz w:val="20"/>
        </w:rPr>
        <w:t xml:space="preserve">2. </w:t>
      </w:r>
      <w:r>
        <w:rPr>
          <w:rFonts w:ascii="Times New Roman" w:hAnsi="Times New Roman"/>
          <w:sz w:val="20"/>
        </w:rPr>
        <w:t>Live measurements of the shipped contract on a synthetic and a real-data leakage task (N = 200 per cell, Wilson 95% CIs). Bare narrators fabricate at 11.5% and 43.5%; the contract held the user-facing rate at 0/200 on all three channels of both tasks; in stress configurations the verifier caught 80 live violations and passed none through; and a pre-stated iid retry model was rejected in the informative direction, with one corrective message cutting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A six-way paraphrase sweep in which the bare narrator's fabrication rate on identical evidence moves from 1% to 100% under rule-free rewording. We read this as the empirical case that prompt-level defenses cannot be certified (Sec. IV-C).</w:t>
      </w:r>
    </w:p>
    <w:p>
      <w:pPr>
        <w:spacing w:before="0" w:after="60"/>
        <w:ind w:firstLine="288"/>
        <w:jc w:val="both"/>
      </w:pPr>
      <w:r>
        <w:rPr>
          <w:rFonts w:ascii="Times New Roman" w:hAnsi="Times New Roman"/>
          <w:sz w:val="20"/>
        </w:rPr>
        <w:t>Section II positions the contract against prior work, Section III describes the system and the formal observations, Section IV reports the measurements, Section V discusses what they show and where they stop, and Section VI concludes.</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separate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extrinsic, but with structure the general problem lacks: the source is a finite, machine-enumerable dictionary, so the faithfulness check is decidable rather than open-world. We eliminate this decidable slice at the tool boundary and claim nothing beyond it.</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calls, Toolformer [6] teaches a model when and how to call, and tool-integration standards [7] make third-party tools discoverable over one protocol. All of this governs how an agent </w:t>
      </w:r>
      <w:r>
        <w:rPr>
          <w:rFonts w:ascii="Times New Roman" w:hAnsi="Times New Roman"/>
          <w:i/>
          <w:sz w:val="20"/>
        </w:rPr>
        <w:t>acts</w:t>
      </w:r>
      <w:r>
        <w:rPr>
          <w:rFonts w:ascii="Times New Roman" w:hAnsi="Times New Roman"/>
          <w:sz w:val="20"/>
        </w:rPr>
        <w:t xml:space="preserve">. None of it constrains what the agent may afterwards </w:t>
      </w:r>
      <w:r>
        <w:rPr>
          <w:rFonts w:ascii="Times New Roman" w:hAnsi="Times New Roman"/>
          <w:i/>
          <w:sz w:val="20"/>
        </w:rPr>
        <w:t>say</w:t>
      </w:r>
      <w:r>
        <w:rPr>
          <w:rFonts w:ascii="Times New Roman" w:hAnsi="Times New Roman"/>
          <w:sz w:val="20"/>
        </w:rPr>
        <w:t xml:space="preserve"> about a tool's output. The contract lives at exactly that unspecified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casts guided decoding as a finite-state machine. LMQL [9] adds declarative constraints over a typed grammar. Grammar-constrained decoding [10] guarantees grammatical validity without fine-tuning, input-dependent grammars included. Guidance [11] pushes JSON-schema and regex constraints down to the token level, and provider APIs validate tool calls against a declared schema [12]. We do not claim that varying a constraint with the input is new; [10] already does it. The differences are in what the constraint is bound to and in who enforces it. Here the value domain comes from a deterministic evidence producer, so the constraint tracks ground-truth observations rather than task structure. And enforcement never leaves our own code: deterministic post-verification keeps the guarantee intact even if the provider admits an out-of-enum token, which matters because decoding-time enforcement is simply unavailable behind commercial APIs. To our knowledge, no prior work packages evidence-bound domains, claim-level value checks, completeness checking, and provider-independent enforcement as a single contract over a decidable faithfulness class. The closest practical relatives are the validate-and-reask toolkits, Guardrails AI [18] and NeMo Guardrails [19], which ship the same outer loop as general-purpose infrastructure. Tier B shares the loop's shape. The validator inside it is what differs: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 used assistants, and those assistants still resolve only a fraction of real-world issues [4]. Our own informal trials before this project showed the same pattern in ML work: semantically invalid training configurations went through without comment. A pipeline assistant has to meet a different bar, semantic correctness about one concrete artifact, and it has to meet it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do not know what a target column is. Experiment trackers [14], [15] record metrics without interpreting them. Automated model search [16] picks estimators without saying why. mlcompass layers a state-carrying advisory surface over the same artifacts; what this paper contributes is the reliability contract on that surface, not the tool surface itself.</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The setting assumes an honest operator and a well-behaved provider: no poisoned weights, no malicious user. The risk we address is the model's own tendency to fabricate or misreport entities and quantities under output-distribution pressure. Three things are explicitly out of scope: (i) adversarial column names planted in user data as prompt injection; (ii) provider outages; (iii) miscalibrated confidence on evidence that is cited and valued correctly. Residual risks are collected in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draws the system the way the contract sees it. A dashed trust boundary splits the picture in two. On one side is everything deterministic: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On the other side is the </w:t>
      </w:r>
      <w:r>
        <w:rPr>
          <w:rFonts w:ascii="Times New Roman" w:hAnsi="Times New Roman"/>
          <w:i/>
          <w:sz w:val="20"/>
        </w:rPr>
        <w:t>LLM narrator</w:t>
      </w:r>
      <w:r>
        <w:rPr>
          <w:rFonts w:ascii="Times New Roman" w:hAnsi="Times New Roman"/>
          <w:sz w:val="20"/>
        </w:rPr>
        <w:t xml:space="preserve">, which we treat as untrusted no matter who serves it. Every arrow crossing the boundary is contract traffic.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payload enters only through Tier B verification, and on a violation the corrective retry crosses back with the offending items named. Nothing crosses unchecked. Inside mlcompass the boundary sits within a larger system: eleven pipeline tools behind a CLI, a tool-integration server [7], an autonomous agent, and editor slash commands, all over a persistent project-context folder. Every one of those surfaces routes through the same deterministic backend, so the guarded path is the only path from narrator to user. One consequence is worth stating on its own. The evidence layer is deterministic and offline, so every command also works with the narrator absent; the narrator only adds explanation, and the contract is what makes the explanation safe to act on.</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is the trust boundary: plain code on the deterministic side (trusted), the LLM narrator on the other (untrusted). The deterministic layer emits the evidence dictionary E; Tier A binds the tool-schema enums to E at call time; Tier B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walk through the contract as it runs in the automatic leakage investigation [17], which fires when an evaluation sees a metric that should not happen (AUC &gt; 0.995, accuracy &gt; 0.99, or R² &gt; 0.999). The task is evidence-closed by construction: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assembles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ranked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and the perfect-match rate P(ŷ = y). Reporting Spearman next to Pearson is deliberate. Monotone target transforms (log y, √y, αy + β) pull ρ_P down while ρ_S stays at 1.0, so a log-target leak sitting at ρ_P ≈ 0.94 would slide under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along with a system prompt that states the rules in words: cite only items that appear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before committing to a verdict; abstain (</w:t>
      </w:r>
      <w:r>
        <w:rPr>
          <w:rFonts w:ascii="Consolas" w:hAnsi="Consolas"/>
          <w:sz w:val="18"/>
        </w:rPr>
        <w:t>cannot_determine</w:t>
      </w:r>
      <w:r>
        <w:rPr>
          <w:rFonts w:ascii="Times New Roman" w:hAnsi="Times New Roman"/>
          <w:sz w:val="20"/>
        </w:rPr>
        <w:t>) instead of guessing.</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Answers arrive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built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comes back, plain code re-checks it without trusting anyone. (1) </w:t>
      </w:r>
      <w:r>
        <w:rPr>
          <w:rFonts w:ascii="Times New Roman" w:hAnsi="Times New Roman"/>
          <w:b/>
          <w:sz w:val="20"/>
        </w:rPr>
        <w:t>Entity soundness</w:t>
      </w:r>
      <w:r>
        <w:rPr>
          <w:rFonts w:ascii="Times New Roman" w:hAnsi="Times New Roman"/>
          <w:sz w:val="20"/>
        </w:rPr>
        <w:t xml:space="preserve">: every column cited or claimed must be in the evidence set. (2) </w:t>
      </w:r>
      <w:r>
        <w:rPr>
          <w:rFonts w:ascii="Times New Roman" w:hAnsi="Times New Roman"/>
          <w:b/>
          <w:sz w:val="20"/>
        </w:rPr>
        <w:t>Value soundness</w:t>
      </w:r>
      <w:r>
        <w:rPr>
          <w:rFonts w:ascii="Times New Roman" w:hAnsi="Times New Roman"/>
          <w:sz w:val="20"/>
        </w:rPr>
        <w:t xml:space="preserve">: each claim </w:t>
      </w:r>
      <w:r>
        <w:rPr>
          <w:rFonts w:ascii="Consolas" w:hAnsi="Consolas"/>
          <w:sz w:val="18"/>
        </w:rPr>
        <w:t>{column, statistic, value}</w:t>
      </w:r>
      <w:r>
        <w:rPr>
          <w:rFonts w:ascii="Times New Roman" w:hAnsi="Times New Roman"/>
          <w:sz w:val="20"/>
        </w:rPr>
        <w:t xml:space="preserve"> must match the measured value within 0.005, so two-decimal rounding passes and a misquote fails.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where an explicit abstention is not an omission. A failed check earns the narrator a corrective retry that names the offending items (budget 2). Whatever is still unsound afterwards is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and completeness is re-checked after stripping, because deleting an unsound claim can itself orphan the anchor.</w:t>
      </w:r>
    </w:p>
    <w:p>
      <w:pPr>
        <w:spacing w:before="0" w:after="60"/>
        <w:ind w:firstLine="288"/>
        <w:jc w:val="both"/>
      </w:pPr>
      <w:r>
        <w:rPr>
          <w:rFonts w:ascii="Times New Roman" w:hAnsi="Times New Roman"/>
          <w:sz w:val="20"/>
        </w:rPr>
        <w:t>Strip for one property, flag for the other: the asymmetry looks like a preference and is not. It is forced, and we record why in two propositions. Neither is deep. Both carry weight in the design.</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invariant that results is easy to state: </w:t>
      </w:r>
      <w:r>
        <w:rPr>
          <w:rFonts w:ascii="Times New Roman" w:hAnsi="Times New Roman"/>
          <w:i/>
          <w:sz w:val="20"/>
        </w:rPr>
        <w:t>any response the contract returns cites only entities present in the deterministic evidence and quotes only values equal to it, by construction, whoever the provider is.</w:t>
      </w:r>
      <w:r>
        <w:rPr>
          <w:rFonts w:ascii="Times New Roman" w:hAnsi="Times New Roman"/>
          <w:sz w:val="20"/>
        </w:rPr>
        <w:t xml:space="preserve"> Membership, comparison, anchor. The checks are almost embarrassingly small, and that smallness is what decidability buys; it is why the guarantee can be absolute in a setting where decoding-time methods [8], [10] cannot even be attached.</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Two. The </w:t>
      </w:r>
      <w:r>
        <w:rPr>
          <w:rFonts w:ascii="Times New Roman" w:hAnsi="Times New Roman"/>
          <w:i/>
          <w:sz w:val="20"/>
        </w:rPr>
        <w:t>synthetic</w:t>
      </w:r>
      <w:r>
        <w:rPr>
          <w:rFonts w:ascii="Times New Roman" w:hAnsi="Times New Roman"/>
          <w:sz w:val="20"/>
        </w:rPr>
        <w:t xml:space="preserve"> task is a 1,000 × 12 regression frame carrying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The </w:t>
      </w:r>
      <w:r>
        <w:rPr>
          <w:rFonts w:ascii="Times New Roman" w:hAnsi="Times New Roman"/>
          <w:i/>
          <w:sz w:val="20"/>
        </w:rPr>
        <w:t>real-data</w:t>
      </w:r>
      <w:r>
        <w:rPr>
          <w:rFonts w:ascii="Times New Roman" w:hAnsi="Times New Roman"/>
          <w:sz w:val="20"/>
        </w:rPr>
        <w:t xml:space="preserve"> task starts from the public Insurance Charges dataset, injects a log-of-target leak, and trains to near-perfect predictions; column names, distributions, and shape are external;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w:t>
      </w:r>
      <w:r>
        <w:rPr>
          <w:rFonts w:ascii="Times New Roman" w:hAnsi="Times New Roman"/>
          <w:i/>
          <w:sz w:val="20"/>
        </w:rPr>
        <w:t>E</w:t>
      </w:r>
      <w:r>
        <w:rPr>
          <w:rFonts w:ascii="Times New Roman" w:hAnsi="Times New Roman"/>
          <w:sz w:val="20"/>
        </w:rPr>
        <w:t>, so the narrator sees exactly the evidence shape the product produces in the field.</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is the floor: a bare prompt that requests the structured fields and states no faithfulness rule, an open tool schema, no verification. </w:t>
      </w:r>
      <w:r>
        <w:rPr>
          <w:rFonts w:ascii="Times New Roman" w:hAnsi="Times New Roman"/>
          <w:i/>
          <w:sz w:val="20"/>
        </w:rPr>
        <w:t>L2</w:t>
      </w:r>
      <w:r>
        <w:rPr>
          <w:rFonts w:ascii="Times New Roman" w:hAnsi="Times New Roman"/>
          <w:sz w:val="20"/>
        </w:rPr>
        <w:t xml:space="preserve"> adds the strict prompt, still unenforced. </w:t>
      </w:r>
      <w:r>
        <w:rPr>
          <w:rFonts w:ascii="Times New Roman" w:hAnsi="Times New Roman"/>
          <w:i/>
          <w:sz w:val="20"/>
        </w:rPr>
        <w:t>L3</w:t>
      </w:r>
      <w:r>
        <w:rPr>
          <w:rFonts w:ascii="Times New Roman" w:hAnsi="Times New Roman"/>
          <w:sz w:val="20"/>
        </w:rPr>
        <w:t xml:space="preserve"> is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is the shipped contract with the bare prompt and the Tier A enums removed, so the narrator fabricates at its natural rate and every Tier B catch becomes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alias, so run dates and the harness commit pin the configuration). The provider does not document decode-time enum enforcement and Tier B does not rely on it; two diagnostic arms separate the tiers' contributions (Sec. IV-C).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The bare instruction rewritten six ways (terse, baseline, helpful, expert, mechanical, cautious), none containing a faithfulness rule, N = 100 per variant, same evidence and tool schema. Only the wording moves.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Three failure channels, scored on every response that reaches the user. </w:t>
      </w:r>
      <w:r>
        <w:rPr>
          <w:rFonts w:ascii="Times New Roman" w:hAnsi="Times New Roman"/>
          <w:b/>
          <w:sz w:val="20"/>
        </w:rPr>
        <w:t>Entity-fabrication</w:t>
      </w:r>
      <w:r>
        <w:rPr>
          <w:rFonts w:ascii="Times New Roman" w:hAnsi="Times New Roman"/>
          <w:sz w:val="20"/>
        </w:rPr>
        <w:t xml:space="preserve">: at least one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at least one claim whose column is in </w:t>
      </w:r>
      <w:r>
        <w:rPr>
          <w:rFonts w:ascii="Times New Roman" w:hAnsi="Times New Roman"/>
          <w:i/>
          <w:sz w:val="20"/>
        </w:rPr>
        <w:t>E</w:t>
      </w:r>
      <w:r>
        <w:rPr>
          <w:rFonts w:ascii="Times New Roman" w:hAnsi="Times New Roman"/>
          <w:sz w:val="20"/>
        </w:rPr>
        <w:t xml:space="preserve"> but whose value is off by more than 0.005. </w:t>
      </w:r>
      <w:r>
        <w:rPr>
          <w:rFonts w:ascii="Times New Roman" w:hAnsi="Times New Roman"/>
          <w:b/>
          <w:sz w:val="20"/>
        </w:rPr>
        <w:t>Critical omission</w:t>
      </w:r>
      <w:r>
        <w:rPr>
          <w:rFonts w:ascii="Times New Roman" w:hAnsi="Times New Roman"/>
          <w:sz w:val="20"/>
        </w:rPr>
        <w:t xml:space="preserve">: a committed verdict that never references the anchor. Wilson 95% CIs and raw k/N throughout. For contract arms we also count </w:t>
      </w:r>
      <w:r>
        <w:rPr>
          <w:rFonts w:ascii="Times New Roman" w:hAnsi="Times New Roman"/>
          <w:b/>
          <w:sz w:val="20"/>
        </w:rPr>
        <w:t>Tier B catches</w:t>
      </w:r>
      <w:r>
        <w:rPr>
          <w:rFonts w:ascii="Times New Roman" w:hAnsi="Times New Roman"/>
          <w:sz w:val="20"/>
        </w:rPr>
        <w:t>: responses with at least one deterministic rejection, plus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Table I covers the entity channel. The L1 intervals are [7.79, 16.66] on the synthetic task and [36.82, 50.43] on real data; every 0/200 cell carries [0.00, 1.88]. The other two channels stayed silent everywhere: no value misquote and no critical omission in any cell of either task. We do not read the silence as a victory. This model copies numbers accurately when it commits to structured claims, and the anchor is the most salient item in the context; Sec. V-C discusses why both could change.</w:t>
      </w:r>
    </w:p>
    <w:p>
      <w:pPr>
        <w:spacing w:before="0" w:after="60"/>
        <w:ind w:firstLine="288"/>
        <w:jc w:val="both"/>
      </w:pPr>
      <w:r>
        <w:rPr>
          <w:rFonts w:ascii="Times New Roman" w:hAnsi="Times New Roman"/>
          <w:b/>
          <w:sz w:val="20"/>
        </w:rPr>
        <w:t>Prompt wording is not a defense.</w:t>
      </w:r>
      <w:r>
        <w:rPr>
          <w:rFonts w:ascii="Times New Roman" w:hAnsi="Times New Roman"/>
          <w:sz w:val="20"/>
        </w:rPr>
        <w:t xml:space="preserve"> Table II shows what happens to the bare rate when only the wording of the instruction changes. All six paraphrases were written before any measurement and none was discarded afterwards. The span is 1% to 100%. A terse instruction almost never fabricates. A mechanical field-listing one always does. A helpful-assistant framing lands at 93%, and no obvious feature of the wording predicts where a variant will fall. A defense that moves two orders of magnitude under innocuous rewording is not one that can be certified. That, in a single table, is the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fires, and correction works.</w:t>
      </w:r>
      <w:r>
        <w:rPr>
          <w:rFonts w:ascii="Times New Roman" w:hAnsi="Times New Roman"/>
          <w:sz w:val="20"/>
        </w:rPr>
        <w:t xml:space="preserve"> Under STRESS on the real-data task, Tier B caught violations in 75 of 200 responses (76 total catches) and passed zero of them to the user; the synthetic task added 4 catches, again none passed. Before running we wrote down an iid retry model (E[calls] = 1 + q + q², residual-strip probability q³); at the observed first-attempt rate q = 0.375 it predicts about 114 catches. We measured 76. The model is rejected, and in the direction that matters: retries are not independent draws, because the corrective message changes behavior. After one corrective message naming the violation, exactly 1 of 75 responses violated again. The conditional repeat rate fell from 37.5% to 1.3% (Wilson 95% CI [0.2%, 7.2%]), a ~28× drop in point estimate and at least ~5× at the bound, and no response ever reached the strip fallback. Is the stress arm artificial? The sweep says no: wordings that fabricate at up to 100% arise from innocuous paraphrases, so a rule-free narrator is an operating point that occurs in practice; the stress arm instantiates it and shows the contract absorbing it. There is a quieter lesson too. Precise, deterministic feedback is itself a strong mitigation, and the verifier is what makes the feedback precise. Expected overhead stays at E[calls] ≈ 1.38 even under stress, and at ≈ 1.0 in production, where the strict prompt produced no violations at all.</w:t>
      </w:r>
    </w:p>
    <w:p>
      <w:pPr>
        <w:spacing w:before="0" w:after="60"/>
        <w:ind w:firstLine="288"/>
        <w:jc w:val="both"/>
      </w:pPr>
      <w:r>
        <w:rPr>
          <w:rFonts w:ascii="Times New Roman" w:hAnsi="Times New Roman"/>
          <w:b/>
          <w:sz w:val="20"/>
        </w:rPr>
        <w:t>Isolating the tiers.</w:t>
      </w:r>
      <w:r>
        <w:rPr>
          <w:rFonts w:ascii="Times New Roman" w:hAnsi="Times New Roman"/>
          <w:sz w:val="20"/>
        </w:rPr>
        <w:t xml:space="preserve"> Two further diagnostic arms (synthetic task, N = 200 each) pull the layers apart. The first puts the evidence-bound enum in the schema over a bare prompt with no verification, Tier A alone, and the rate fell from L1's 11.5% to 0/200. Even on an endpoint with no documented decode-time enforcement, the enum steers the model strongly; a schema acts here as an instruction, not just a validator. The second runs the full contract under the sweep's worst paraphrase, the one fabricating 100/100 unenforced, and saw zero first-attempt violations and therefore zero catches: the steering absorbed the worst wording before Tier B had anything to do. Neither observation is a guarantee, since steering can regress as silently as prompting. Together with the stress arm, though, the picture is consistent: each tier is independently effective in practice, and Tier B remains the only layer whose protection is certifiable.</w:t>
      </w:r>
    </w:p>
    <w:p>
      <w:pPr>
        <w:spacing w:before="0" w:after="60"/>
        <w:ind w:firstLine="288"/>
        <w:jc w:val="both"/>
      </w:pPr>
      <w:r>
        <w:rPr>
          <w:rFonts w:ascii="Times New Roman" w:hAnsi="Times New Roman"/>
          <w:b/>
          <w:sz w:val="20"/>
        </w:rPr>
        <w:t>Overhead.</w:t>
      </w:r>
      <w:r>
        <w:rPr>
          <w:rFonts w:ascii="Times New Roman" w:hAnsi="Times New Roman"/>
          <w:sz w:val="20"/>
        </w:rPr>
        <w:t xml:space="preserve"> Extra provider calls happen only on violation: one call per investigation plus at most two corrective retries. The verification itself is set membership and float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Everything above is the shipped code path, not a research fork. The repository carries 23 end-to-end contract tests (enum binding, value tolerance, misquote retry and strip, omission retry and flag, abstention exemption, the stress configuration, both provider tool formats) against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turns a slogan into a number. One model, one evidence dictionary, and a fabrication rate anywhere between 1% and 100%, depending on harmless wording choices. The strict prompt's zeros are real (0/200 per task), and they still leave a 1.88% Wilson upper bound with nothing structural holding them in place across the next model update or the next paraphrase. The contract supplies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carry a second lesson. The verifier does more than block: it names what went wrong, and that named feedback is what cut the repeat-violation rate from 37.5% to 1.3% (Sec. IV-C). Contrast the </w:t>
      </w:r>
      <w:r>
        <w:rPr>
          <w:rFonts w:ascii="Times New Roman" w:hAnsi="Times New Roman"/>
          <w:i/>
          <w:sz w:val="20"/>
        </w:rPr>
        <w:t>cautious</w:t>
      </w:r>
      <w:r>
        <w:rPr>
          <w:rFonts w:ascii="Times New Roman" w:hAnsi="Times New Roman"/>
          <w:sz w:val="20"/>
        </w:rPr>
        <w:t xml:space="preserve"> paraphrase, which amounts to telling the model to be careful, and which fabricated at 45%. Vague guidance is weak; machine-generated violation reports are strong. The division of labor follows: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 xml:space="preserve">Nothing fired on the value and omission channels anywhere. The honest explanation: the numbers sit verbatim in the context window, copying them is easy, and the anchor is the single most salient item in </w:t>
      </w:r>
      <w:r>
        <w:rPr>
          <w:rFonts w:ascii="Times New Roman" w:hAnsi="Times New Roman"/>
          <w:i/>
          <w:sz w:val="20"/>
        </w:rPr>
        <w:t>E</w:t>
      </w:r>
      <w:r>
        <w:rPr>
          <w:rFonts w:ascii="Times New Roman" w:hAnsi="Times New Roman"/>
          <w:sz w:val="20"/>
        </w:rPr>
        <w:t>. Longer contexts, derived statistics, or busier evidence could activate either channel. The contract closes both pre-emptively, and the price is a set lookup and a float comparison (Prop. 1). Paying that price before a channel is observed to fail, not after, strikes us as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Three invariants make the contract portable: a deterministic evidence producer, a finite enumerable set of observed entities and values, and a runtime enum bound to that set with independent verification. Any narration task with all three supports the same guarantee. A clinical-decision narrator could be bound to the patient's actually-measured abnormal results, with cited values verified against the measurements; an expert-system narrator could be bound to the IDs of the rules that fired. We have not evaluated either domain, and they mark where our claims stop. One engineering note from shipping deserves a sentence. When a capability is exposed through several interfaces (CLI and tool-server here), parity must be enforced through shared code paths and tested as an invariant; we hit exactly such a divergence and fixed it.</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Every measurement comes from one commercial LLM. The rates should not be generalized to other models; our own sweep shows they do not even generalize across paraphrases of one prompt.</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and other leak patterns and evidence shapes remain unmeasured. We also did not log the composition of L1 violations, per-response claim counts, or per-arm abstention rates; an arm that pushed the narrator into abstention would trivially score zero on every channel. L1's high rates indicate the task elicits committed, citing behavior, but the logging gap is real.</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mentions a contract, so its first-attempt propensity is not exactly L1's (synthetic: 2% vs. 11.5%; real data: 37.5% vs. 43.5%). We report catches as demonstrations that the verifier fires,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is not scored. Neither is the free-text narration field (renderers surface the validated citation and claim sets as the actionable output), and enforcement pressure could in principle push fabrication into that unverified channel; we did not measure such displacement. Prompt-injection compliance is likewise open. And if the deterministic layer misses the true leak, the enum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steers; it does not enforce.</w:t>
      </w:r>
      <w:r>
        <w:rPr>
          <w:rFonts w:ascii="Times New Roman" w:hAnsi="Times New Roman"/>
          <w:sz w:val="20"/>
        </w:rPr>
        <w:t xml:space="preserve"> Isolated on the synthetic task only, the enum took an 11.5% baseline to 0/200. That is steering on this endpoint, and without decode-time enforcement it stays exactly as uncertifiable as a prompt. We also ran no head-to-head against a static-schema decoder where decoders apply, nor against the validate-and-reask toolkits [18], [19].</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Evidence-closed narration names the class of tasks whose citable entities and verifiable quantities are finite and machine-enumerable at call time. For this class, faithfulness checking is linear-time (Prop. 1), soundness can be enforced by safe deletion while completeness can only be detected (Prop. 2), and fabrication is therefore preventable rather than merely mitigable. The two-tier contract built on those facts ships in the production narrator of mlcompass, and we measured it live. Bare narrators fabricated at 11.5% and 43.5% on a synthetic and a real-data leakage task, and at anywhere from 1% to 100% across six paraphrases of one instruction. The contract held the user-facing rate at 0/200 on every channel of both tasks; its verifier caught 80 violations across the stress configurations, 76 of them on real data; and one named corrective message cut repeat violations from 37.5% to 1.3%. We are explicit about what is being claimed: not a new decoding algorithm, but a decidable-class framing, a provider-independent contract with two formal observations, and first measurements, among which the paraphrase sweep is, we believe, the sharpest quantitative evidence so far that prompt-level faithfulness cannot be certified. The program ahead is concrete: a public narrator-fabrication benchmark across providers, tasks, and leak patterns; verified claims over derived and relational statistics; contract composition along multi-step agent chains, each step's enum derived from the verified output of the step before; and transposition to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ACKNOWLEDGMENT</w:t>
      </w:r>
    </w:p>
    <w:p>
      <w:pPr>
        <w:spacing w:before="0" w:after="60"/>
        <w:ind w:firstLine="288"/>
        <w:jc w:val="both"/>
      </w:pPr>
      <w:r>
        <w:rPr>
          <w:rFonts w:ascii="Times New Roman" w:hAnsi="Times New Roman"/>
          <w:sz w:val="20"/>
        </w:rPr>
        <w:t>The authors used a large language model as a coding and writing assistant during the development of mlcompass and the preparation of this manuscript. All experimental results come from the recorded harness runs in the public repository; the authors reviewed and verified all content and bear full responsibility for it.</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