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jc w:val="center"/>
      </w:pPr>
      <w:r>
        <w:rPr>
          <w:b/>
          <w:bCs/>
          <w:sz w:val="72"/>
          <w:szCs w:val="72"/>
        </w:rPr>
        <w:t xml:space="preserve">mlcompass</w:t>
      </w:r>
    </w:p>
    <w:p>
      <w:pPr>
        <w:spacing w:after="160"/>
        <w:jc w:val="center"/>
      </w:pPr>
      <w:r>
        <w:rPr>
          <w:sz w:val="40"/>
          <w:szCs w:val="40"/>
        </w:rPr>
        <w:t xml:space="preserve">Teknik Dokümantasyon</w:t>
      </w:r>
    </w:p>
    <w:p>
      <w:pPr>
        <w:spacing w:after="700"/>
        <w:jc w:val="center"/>
      </w:pPr>
      <w:r>
        <w:rPr>
          <w:i/>
          <w:iCs/>
          <w:color w:val="444444"/>
          <w:sz w:val="26"/>
          <w:szCs w:val="26"/>
        </w:rPr>
        <w:t xml:space="preserve">Kanıta Bağlı Çalışma-Zamanı Şeması, FabBench Ölçüm Altyapısı ve Q1 Dergi Kampanyası</w:t>
      </w:r>
    </w:p>
    <w:p>
      <w:pPr>
        <w:spacing w:after="80"/>
        <w:jc w:val="center"/>
      </w:pPr>
      <w:r>
        <w:rPr>
          <w:b/>
          <w:bCs/>
          <w:sz w:val="26"/>
          <w:szCs w:val="26"/>
        </w:rPr>
        <w:t xml:space="preserve">Hakan Sabuniş</w:t>
      </w:r>
    </w:p>
    <w:p>
      <w:pPr>
        <w:spacing w:after="80"/>
        <w:jc w:val="center"/>
      </w:pPr>
      <w:r>
        <w:rPr>
          <w:color w:val="444444"/>
          <w:sz w:val="22"/>
          <w:szCs w:val="22"/>
        </w:rPr>
        <w:t xml:space="preserve">İstanbul Medipol Üniversitesi</w:t>
      </w:r>
    </w:p>
    <w:p>
      <w:pPr>
        <w:spacing w:after="80"/>
        <w:jc w:val="center"/>
      </w:pPr>
      <w:r>
        <w:rPr>
          <w:color w:val="444444"/>
          <w:sz w:val="22"/>
          <w:szCs w:val="22"/>
        </w:rPr>
        <w:t xml:space="preserve">7 Temmuz 2026</w:t>
      </w:r>
    </w:p>
    <w:p>
      <w:pPr>
        <w:spacing w:after="80"/>
        <w:jc w:val="center"/>
      </w:pPr>
      <w:r>
        <w:rPr>
          <w:rFonts w:ascii="Consolas" w:cs="Consolas" w:eastAsia="Consolas" w:hAnsi="Consolas"/>
          <w:color w:val="444444"/>
          <w:sz w:val="20"/>
          <w:szCs w:val="20"/>
        </w:rPr>
        <w:t xml:space="preserve">github.com/hakansabunis/mlcompass  |  PyPI: mlcompass v0.9.0</w:t>
      </w:r>
    </w:p>
    <w:p>
      <w:r>
        <w:br w:type="page"/>
      </w:r>
    </w:p>
    <w:p>
      <w:pPr>
        <w:pStyle w:val="Heading1"/>
      </w:pPr>
      <w:r>
        <w:t xml:space="preserve">İçindekiler</w:t>
      </w:r>
    </w:p>
    <w:p>
      <w:pPr>
        <w:spacing w:after="120"/>
      </w:pPr>
      <w:r>
        <w:rPr>
          <w:i/>
          <w:iCs/>
          <w:color w:val="666666"/>
          <w:sz w:val="19"/>
          <w:szCs w:val="19"/>
        </w:rPr>
        <w:t xml:space="preserve">Not: İçindekiler alanı Word içinde güncellenir; belgeyi açınca alana sağ tıklayıp </w:t>
      </w:r>
      <w:r>
        <w:rPr>
          <w:i/>
          <w:iCs/>
          <w:color w:val="666666"/>
          <w:sz w:val="19"/>
          <w:szCs w:val="19"/>
        </w:rPr>
        <w:t xml:space="preserve">“Alanı Güncelleştir” (F9) seçin.</w:t>
      </w:r>
    </w:p>
    <w:sdt>
      <w:sdtPr>
        <w:alias w:val="İçindekiler"/>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Giriş ve Amaç</w:t>
      </w:r>
    </w:p>
    <w:p>
      <w:pPr>
        <w:pStyle w:val="Heading2"/>
      </w:pPr>
      <w:r>
        <w:t xml:space="preserve">1.1 Problem tanımı: LLM anlatımında kanıt fabrikasyonu</w:t>
      </w:r>
    </w:p>
    <w:p>
      <w:pPr>
        <w:spacing w:after="120"/>
      </w:pPr>
      <w:r>
        <w:t xml:space="preserve">Büyük dil modelleri (LLM), ML boru hatlarının ürettiği sayısal kanıtın doğal-dil anlatımında artan sıklıkla görev almaktadır: şüpheli bir metrik veya veri sızıntısı (data leakage) sinyali oluştuğunda, deterministik dedektörün çıktısı modele verilir ve kullanıcıya yorumlanmış bir değerlendirme sunması beklenir. Bu anlatım katmanı üç ayrık hata kanalına açıktır: (i) varlık fabrikasyonu (entity fabrication): kanıt sözlüğünde bulunmayan sütun adlarına atıf; (ii) değer fabrikasyonu (value fabrication): ölçülmüş bir büyüklüğün yanlış sayısal değerle aktarımı; (iii) kritik eksik bırakma (critical omission): en yüksek öncelikli kanıt öğesine hiç değinmeden hüküm bildirme.</w:t>
      </w:r>
    </w:p>
    <w:p>
      <w:pPr>
        <w:spacing w:after="120"/>
      </w:pPr>
      <w:r>
        <w:t xml:space="preserve">Bu üç kanal, projenin ölçüm ve doğrulama nesnesini oluşturur. Haziran 2026 canlı ölçümlerinde, kural bildirilmemiş (bare-prompt) bir anlatıcı sentetik görevde 200 bağımsız yanıtın 23-30’unda (%11.5-15.0), gerçek-veri görevinde 87’sinde (%43.5) varlık fabrikasyonu üretmiştir; aynı görevin kural içermeyen altı sistem-prompt parafrazı arasında oran 1/100 ile 100/100 aralığında değişmiştir (varyant başına N = 100; hücre ve k/N gösterimi için bkz. 1.5). Ölçümler, fabrikasyonun (a) sıfırdan istatistiksel olarak ayrık, (b) görev-bağımlı ve (c) prompt parafrazına karşı yüksek varyanslı olduğunu göstermektedir; bu üçlü, çözümün prompt mühendisliğine devredilemeyeceğinin ampirik gerekçesidir.</w:t>
      </w:r>
    </w:p>
    <w:p>
      <w:pPr>
        <w:pStyle w:val="Heading2"/>
      </w:pPr>
      <w:r>
        <w:t xml:space="preserve">1.2 Çözüm yaklaşımı: kanıta bağlı çalışma-zamanı şeması</w:t>
      </w:r>
    </w:p>
    <w:p>
      <w:pPr>
        <w:spacing w:after="120"/>
      </w:pPr>
      <w:r>
        <w:t xml:space="preserve">Önerilen mekanizma, anlatıcı çıktısını serbest metin yerine zorunlu bir araç çağrısına (forced tool call) yönlendirir ve aracın JSON şemasını her çağrıda o anki kanıt sözlüğünden türetir. İki katman bileşiktir:</w:t>
      </w:r>
    </w:p>
    <w:p>
      <w:pPr>
        <w:pStyle w:val="ListParagraph"/>
        <w:numPr>
          <w:ilvl w:val="0"/>
          <w:numId w:val="2"/>
        </w:numPr>
        <w:spacing w:after="60"/>
      </w:pPr>
      <w:r>
        <w:rPr>
          <w:b/>
          <w:bCs/>
        </w:rPr>
        <w:t xml:space="preserve">Tier A (çağrı anı enum): </w:t>
      </w:r>
      <w:r>
        <w:t xml:space="preserve">sütun-değerli alanların (columns_referenced, claims[].column) değer uzayı, kanıt sözlüğünden çağrı anında türetilen bir enum ile kısıtlanır. Şema statik bir sabit değil, kanıtın bir fonksiyonudur.</w:t>
      </w:r>
    </w:p>
    <w:p>
      <w:pPr>
        <w:pStyle w:val="ListParagraph"/>
        <w:numPr>
          <w:ilvl w:val="0"/>
          <w:numId w:val="2"/>
        </w:numPr>
        <w:spacing w:after="60"/>
      </w:pPr>
      <w:r>
        <w:rPr>
          <w:b/>
          <w:bCs/>
        </w:rPr>
        <w:t xml:space="preserve">Tier B (deterministik yeniden-doğrulama): </w:t>
      </w:r>
      <w:r>
        <w:t xml:space="preserve">sağlayıcı yanıtı, üç kanalda (varlık, değer, tamlık) istemci tarafında yeniden doğrulanır. İhlal halinde düzeltme mesajıyla sınırlı sayıda yeniden deneme yapılır; bütçe tükendiğinde ihlalli öğeler deterministik olarak çıkarılır (strip) veya çıkarımla onarılamıyorsa bayraklanır (flag). Kanıt-kapalı olmayan hiçbir öğe kullanıcı arayüzüne ulaşmaz.</w:t>
      </w:r>
    </w:p>
    <w:p>
      <w:pPr>
        <w:spacing w:after="120"/>
      </w:pPr>
      <w:r>
        <w:t xml:space="preserve">Tasarım değişmezi: Tier B, hiçbir sağlayıcının şema-uygulama (enforcement) davranışını varsaymaz. Enum’un decode sırasında zorlanıp zorlanmadığından bağımsız olarak doğrulama istemci tarafında deterministik biçimde yürütülür; garanti bu nedenle sağlayıcı-bağımsızdır.</w:t>
      </w:r>
    </w:p>
    <w:p>
      <w:pPr>
        <w:pStyle w:val="Heading2"/>
      </w:pPr>
      <w:r>
        <w:t xml:space="preserve">1.3 Projenin iki katmanı: ürün ve bilimsel iddia</w:t>
      </w:r>
    </w:p>
    <w:p>
      <w:pPr>
        <w:spacing w:after="120"/>
      </w:pPr>
      <w:r>
        <w:rPr>
          <w:b/>
          <w:bCs/>
        </w:rPr>
        <w:t xml:space="preserve">Ürün katmanı: </w:t>
      </w:r>
      <w:r>
        <w:t xml:space="preserve">mlcompass, ML pratisyenleri için PyPI’da yayımlanan bir yardımcı paket (v0.9.0). Veri kümesi analizi, eğitim betiği denetimi, canlı eğitim izleme, run karşılaştırma, değerlendirme, dağıtım hazırlığı, drift izleme ve hiperparametre önerisi gibi komutlar sunar. Sızıntı dedektörü ve kanıta bağlı anlatıcı, evaluate akışının parçasıdır.</w:t>
      </w:r>
    </w:p>
    <w:p>
      <w:pPr>
        <w:spacing w:after="120"/>
      </w:pPr>
      <w:r>
        <w:rPr>
          <w:b/>
          <w:bCs/>
        </w:rPr>
        <w:t xml:space="preserve">Bilimsel katman: </w:t>
      </w:r>
      <w:r>
        <w:t xml:space="preserve">“An Evidence-Bound Runtime Schema for Claim-Faithful LLM Narration of ML Pipeline Evidence” başlıklı makale hattı. Haziran 2026’da INISTA için 6 sayfalık taslak yazıldı, ölçümlerle desteklendi, iç ve dış hakem süreçlerinden geçti; 14 Haziran’da danışman kararıyla gönderim ertelendi ve 6 Temmuz 2026’da hedef büyütülerek Q1 dergi kampanyası başlatıldı (hedef: Expert Systems with Applications; yedekler KBS, JSS, IEEE Access). Tek yazar: Hakan Sabuniş.</w:t>
      </w:r>
    </w:p>
    <w:p>
      <w:pPr>
        <w:pStyle w:val="Heading2"/>
      </w:pPr>
      <w:r>
        <w:t xml:space="preserve">1.4 Bu belgenin kapsamı</w:t>
      </w:r>
    </w:p>
    <w:p>
      <w:pPr>
        <w:spacing w:after="120"/>
      </w:pPr>
      <w:r>
        <w:t xml:space="preserve">Bu belge, 7 Temmuz 2026 akşamı itibarıyla yapılan her şeyi tek yerde toplar: ürünün ne olduğu, kontrat mekanizmasının nasıl çalıştığı, ölçüm altyapısının (harness) tasarımı, FabBench benchmark’ı, Haziran ölçüm sonuçları, bilimsel süreç ve Q1 yol haritası, ön-kayıt disiplini, hakem paneli ve panel-onarım kod dalgaları, güncel durum ve sıradaki adımlar. Okuyucunun projeyi hiç bilmediği varsayılmıştır.</w:t>
      </w:r>
    </w:p>
    <w:p>
      <w:pPr>
        <w:pStyle w:val="Heading2"/>
      </w:pPr>
      <w:r>
        <w:t xml:space="preserve">1.5 Gösterim (notasyon)</w:t>
      </w:r>
    </w:p>
    <w:p>
      <w:pPr>
        <w:spacing w:after="120"/>
      </w:pPr>
      <w:r>
        <w:rPr>
          <w:b/>
          <w:bCs/>
        </w:rPr>
        <w:t xml:space="preserve">Hücre: </w:t>
      </w:r>
      <w:r>
        <w:t xml:space="preserve">bu belgedeki her ölçüm birimi bir “hücre”dir: (sağlayıcı, model, görev, deney kolu, N, seed, kanıt-hash) yedilisi. Bir hücredeki tüm yanıtlar aynı kanıt sözlüğünden, aynı konfigürasyonla, bağımsız API çağrılarıyla örneklenir.</w:t>
      </w:r>
    </w:p>
    <w:p>
      <w:pPr>
        <w:spacing w:after="120"/>
      </w:pPr>
      <w:r>
        <w:rPr>
          <w:b/>
          <w:bCs/>
        </w:rPr>
        <w:t xml:space="preserve">k / N gösterimi: </w:t>
      </w:r>
      <w:r>
        <w:t xml:space="preserve">hücrede örneklenen N bağımsız yanıtın k tanesinin ilgili kanalda ihlal içerdiği anlamına gelir; pay/payda ayracıdır, tek bir sayı değildir. Örnek: 0 / 200 = “200 yanıtın sıfırında ihlal gözlendi” (iki yüz yanıt; 2000 ile ilgisi yoktur). N sabit bir evrensel büyüklük değil, hücre parametresidir ve hücreden hücreye değişebilir; ön-kayıt çıkarımsal hücrelere N=200, betimsel hücrelere N=100 atar (A3.7). Bu yüzden tablolar daima k ile N’yi birlikte verir; yüzde, o hücrenin kendi N’inden mekanik olarak hesaplanır (R8 kuralı: tablolara elle yüzde yazmak yasaktır, make_tables.py hesaplar).</w:t>
      </w:r>
    </w:p>
    <w:p>
      <w:pPr>
        <w:spacing w:after="120"/>
      </w:pPr>
      <w:r>
        <w:rPr>
          <w:b/>
          <w:bCs/>
        </w:rPr>
        <w:t xml:space="preserve">N nerede kayıtlı? </w:t>
      </w:r>
      <w:r>
        <w:t xml:space="preserve">Üç bağımsız yerde: (1) ölçüm kaydının başlığında (ör. “4 arms, N=200/arm”, “6 variants × N=100”), (2) JSONL koşu dosyasının adında (ör. deepseek_..._layer1_n200_seed0_e&lt;hash&gt;.jsonl), (3) hücrenin kayıt sayısında (satır sayısı = üretilen yanıt sayısı; taşıma hatası dışlamaları errors_excluded ile ayrıca raporlanır). N asla varsayılmaz; her tablo kendi kaynağının N’ini taşır.</w:t>
      </w:r>
    </w:p>
    <w:p>
      <w:pPr>
        <w:spacing w:after="120"/>
      </w:pPr>
      <w:r>
        <w:rPr>
          <w:b/>
          <w:bCs/>
        </w:rPr>
        <w:t xml:space="preserve">Wilson %95 güven aralığı: </w:t>
      </w:r>
      <w:r>
        <w:t xml:space="preserve">k / N oranının örnekleme belirsizliği Wilson skor aralığıyla verilir: merkez = (p̂ + z²/2N) / (1 + z²/N), yarı-genişlik = (z / (1 + z²/N)) · sqrt(p̂(1-p̂)/N + z²/4N²), z = 1.959964. Kritik sonuç: k = 0 gözlemi “kesin sıfır” kanıtı değildir; 0 / 200 gözlemi %1.88, 0 / 100 gözlemi %3.70 üst sınır bırakır. Bu yüzden makaledeki her sıfır iddiası hücre bazında Wilson üst sınırıyla birlikte raporlanır (A3.12).</w:t>
      </w:r>
    </w:p>
    <w:p>
      <w:pPr>
        <w:pStyle w:val="Heading1"/>
      </w:pPr>
      <w:r>
        <w:t xml:space="preserve">2. Ürün: mlcompass Paketi</w:t>
      </w:r>
    </w:p>
    <w:p>
      <w:pPr>
        <w:pStyle w:val="Heading2"/>
      </w:pPr>
      <w:r>
        <w:t xml:space="preserve">2.1 Genel bakış</w:t>
      </w:r>
    </w:p>
    <w:p>
      <w:pPr>
        <w:spacing w:after="120"/>
      </w:pPr>
      <w:r>
        <w:t xml:space="preserve">mlcompass, ML iş akışının veri-kümesi analizi ile dağıtım-hazırlık kontrolü arasındaki adımlarını kapsayan bir Python paketidir. Her komut iki katmandan oluşur: deterministik bir analiz çekirdeği (saf fonksiyonlar; API çağrısı yok) ve isteğe bağlı bir LLM yorum katmanı (--llm). Şubat-Haziran 2026 arasında 10 fazda geliştirilmiştir (v0.1.0’dan v0.9.0’a). Kurulum:</w:t>
      </w:r>
    </w:p>
    <w:p>
      <w:pPr>
        <w:shd w:fill="F2F2F2" w:val="clear"/>
        <w:spacing w:after="0"/>
        <w:ind w:left="240" w:right="240"/>
      </w:pPr>
      <w:r>
        <w:rPr>
          <w:rFonts w:ascii="Consolas" w:cs="Consolas" w:eastAsia="Consolas" w:hAnsi="Consolas"/>
          <w:sz w:val="18"/>
          <w:szCs w:val="18"/>
        </w:rPr>
        <w:t xml:space="preserve">pip install mlcompass</w:t>
      </w:r>
    </w:p>
    <w:p>
      <w:pPr>
        <w:shd w:fill="F2F2F2" w:val="clear"/>
        <w:spacing w:after="160"/>
        <w:ind w:left="240" w:right="240"/>
      </w:pPr>
      <w:r>
        <w:rPr>
          <w:rFonts w:ascii="Consolas" w:cs="Consolas" w:eastAsia="Consolas" w:hAnsi="Consolas"/>
          <w:sz w:val="18"/>
          <w:szCs w:val="18"/>
        </w:rPr>
        <w:t xml:space="preserve">pip install mlcompass[mcp]   # MCP sunucusu ile birlikte</w:t>
      </w:r>
    </w:p>
    <w:p>
      <w:pPr>
        <w:pStyle w:val="Heading2"/>
      </w:pPr>
      <w:r>
        <w:t xml:space="preserve">2.2 Komutlar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226"/>
      </w:tblGrid>
      <w:tr>
        <w:trPr>
          <w:tblHeader/>
        </w:trPr>
        <w:tc>
          <w:tcPr>
            <w:tcW w:type="dxa" w:w="15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Komut</w:t>
            </w:r>
          </w:p>
        </w:tc>
        <w:tc>
          <w:tcPr>
            <w:tcW w:type="dxa" w:w="43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Ne yapar</w:t>
            </w:r>
          </w:p>
        </w:tc>
        <w:tc>
          <w:tcPr>
            <w:tcW w:type="dxa" w:w="3226"/>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LLM katmanı</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init</w:t>
            </w:r>
            <w:r>
              <w:rPr>
                <w:b w:val="false"/>
                <w:bCs w:val="false"/>
                <w:sz w:val="19"/>
                <w:szCs w:val="19"/>
              </w:rPr>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Proje bağlamını (.mlcompass) kurar; kararlar ve komut geçmişi burada tutulur</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yok</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advise</w:t>
            </w:r>
            <w:r>
              <w:rPr>
                <w:b w:val="false"/>
                <w:bCs w:val="false"/>
                <w:sz w:val="19"/>
                <w:szCs w:val="19"/>
              </w:rPr>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CSV/Parquet veri kümesini analiz eder; model, öznitelik ve veri-kalitesi önerileri üretir</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sub-agent</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audit</w:t>
            </w:r>
            <w:r>
              <w:rPr>
                <w:b w:val="false"/>
                <w:bCs w:val="false"/>
                <w:sz w:val="19"/>
                <w:szCs w:val="19"/>
              </w:rPr>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Eğitim betiğini statik olarak denetler (yaygın ML hataları)</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opsiyonel --llm</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watch</w:t>
            </w:r>
            <w:r>
              <w:rPr>
                <w:b w:val="false"/>
                <w:bCs w:val="false"/>
                <w:sz w:val="19"/>
                <w:szCs w:val="19"/>
              </w:rPr>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Eğitim logunu (düz metin / TensorBoard / W&amp;B) plato, ıraksama, overfit, NaN için tarar</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opsiyonel --llm</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compare</w:t>
            </w:r>
            <w:r>
              <w:rPr>
                <w:b w:val="false"/>
                <w:bCs w:val="false"/>
                <w:sz w:val="19"/>
                <w:szCs w:val="19"/>
              </w:rPr>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İki run’ı yan yana karşılaştırır (config farkı + metrik kazananı)</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opsiyonel --llm</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evaluate</w:t>
            </w:r>
            <w:r>
              <w:rPr>
                <w:b w:val="false"/>
                <w:bCs w:val="false"/>
                <w:sz w:val="19"/>
                <w:szCs w:val="19"/>
              </w:rPr>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Tahmin tablosunu skorlar; eşik taraması, karışıklık matrisi ve sızıntı paneli</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opsiyonel --llm</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deploy</w:t>
            </w:r>
            <w:r>
              <w:rPr>
                <w:b w:val="false"/>
                <w:bCs w:val="false"/>
                <w:sz w:val="19"/>
                <w:szCs w:val="19"/>
              </w:rPr>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Kayıtlı model dosyasında dağıtım-hazırlık kontrolü (lambda/sagemaker/k8s/vertex)</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opsiyonel --llm</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monitor</w:t>
            </w:r>
            <w:r>
              <w:rPr>
                <w:b w:val="false"/>
                <w:bCs w:val="false"/>
                <w:sz w:val="19"/>
                <w:szCs w:val="19"/>
              </w:rPr>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Referans ve güncel veri kümesi arasında drift tespiti (PSI / KS / chi-kare)</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opsiyonel --llm</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optimize</w:t>
            </w:r>
            <w:r>
              <w:rPr>
                <w:b w:val="false"/>
                <w:bCs w:val="false"/>
                <w:sz w:val="19"/>
                <w:szCs w:val="19"/>
              </w:rPr>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Run geçmişinden sonraki hiperparametre konfigürasyonlarını önerir</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opsiyonel --llm</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status</w:t>
            </w:r>
            <w:r>
              <w:rPr>
                <w:b w:val="false"/>
                <w:bCs w:val="false"/>
                <w:sz w:val="19"/>
                <w:szCs w:val="19"/>
              </w:rPr>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Aktif proje durumunu özetler</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yok</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agent</w:t>
            </w:r>
            <w:r>
              <w:rPr>
                <w:b w:val="false"/>
                <w:bCs w:val="false"/>
                <w:sz w:val="19"/>
                <w:szCs w:val="19"/>
              </w:rPr>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Tüm araçları tek konuşma döngüsünde kullanan etkileşimli ajan</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Anthropic API veya Claude Code backend</w:t>
            </w:r>
          </w:p>
        </w:tc>
      </w:tr>
    </w:tbl>
    <w:p>
      <w:pPr>
        <w:spacing w:after="120"/>
      </w:pPr>
      <w:r>
        <w:t xml:space="preserve"/>
      </w:r>
    </w:p>
    <w:p>
      <w:pPr>
        <w:pStyle w:val="Heading2"/>
      </w:pPr>
      <w:r>
        <w:t xml:space="preserve">2.3 Mimari</w:t>
      </w:r>
    </w:p>
    <w:p>
      <w:pPr>
        <w:pStyle w:val="ListParagraph"/>
        <w:numPr>
          <w:ilvl w:val="0"/>
          <w:numId w:val="2"/>
        </w:numPr>
        <w:spacing w:after="60"/>
      </w:pPr>
      <w:r>
        <w:rPr>
          <w:b/>
          <w:bCs/>
        </w:rPr>
        <w:t xml:space="preserve">Paylaşılan araç kayıt defteri (tool registry): </w:t>
      </w:r>
      <w:r>
        <w:t xml:space="preserve">tüm deterministik analizler </w:t>
      </w:r>
      <w:r>
        <w:rPr>
          <w:rFonts w:ascii="Consolas" w:cs="Consolas" w:eastAsia="Consolas" w:hAnsi="Consolas"/>
          <w:sz w:val="20"/>
          <w:szCs w:val="20"/>
        </w:rPr>
        <w:t xml:space="preserve">src/mlcompass/tools/</w:t>
      </w:r>
      <w:r>
        <w:t xml:space="preserve"> altında saf fonksiyonlardır; CLI, ajan ve MCP aynı kaydı kullanır.</w:t>
      </w:r>
    </w:p>
    <w:p>
      <w:pPr>
        <w:pStyle w:val="ListParagraph"/>
        <w:numPr>
          <w:ilvl w:val="0"/>
          <w:numId w:val="2"/>
        </w:numPr>
        <w:spacing w:after="60"/>
      </w:pPr>
      <w:r>
        <w:rPr>
          <w:b/>
          <w:bCs/>
        </w:rPr>
        <w:t xml:space="preserve">İki ajan backend’i: </w:t>
      </w:r>
      <w:r>
        <w:t xml:space="preserve">ham Anthropic SDK tool-use döngüsü ve claude-agent-sdk sarmalayıcısı. Transcript, bellek (oturumlar arası devam) ve izin-kapılı config düzenlemeleri ortaktır.</w:t>
      </w:r>
    </w:p>
    <w:p>
      <w:pPr>
        <w:pStyle w:val="ListParagraph"/>
        <w:numPr>
          <w:ilvl w:val="0"/>
          <w:numId w:val="2"/>
        </w:numPr>
        <w:spacing w:after="60"/>
      </w:pPr>
      <w:r>
        <w:rPr>
          <w:b/>
          <w:bCs/>
        </w:rPr>
        <w:t xml:space="preserve">MCP sunucusu: </w:t>
      </w:r>
      <w:r>
        <w:rPr>
          <w:rFonts w:ascii="Consolas" w:cs="Consolas" w:eastAsia="Consolas" w:hAnsi="Consolas"/>
          <w:sz w:val="20"/>
          <w:szCs w:val="20"/>
        </w:rPr>
        <w:t xml:space="preserve">mlcompass-mcp</w:t>
      </w:r>
      <w:r>
        <w:t xml:space="preserve"> komutu 8 aracı Claude Desktop / Cursor gibi istemcilere açar.</w:t>
      </w:r>
    </w:p>
    <w:p>
      <w:pPr>
        <w:pStyle w:val="ListParagraph"/>
        <w:numPr>
          <w:ilvl w:val="0"/>
          <w:numId w:val="2"/>
        </w:numPr>
        <w:spacing w:after="60"/>
      </w:pPr>
      <w:r>
        <w:rPr>
          <w:b/>
          <w:bCs/>
        </w:rPr>
        <w:t xml:space="preserve">11 slash komutu: </w:t>
      </w:r>
      <w:r>
        <w:rPr>
          <w:rFonts w:ascii="Consolas" w:cs="Consolas" w:eastAsia="Consolas" w:hAnsi="Consolas"/>
          <w:sz w:val="20"/>
          <w:szCs w:val="20"/>
        </w:rPr>
        <w:t xml:space="preserve">install-slash-commands</w:t>
      </w:r>
      <w:r>
        <w:t xml:space="preserve"> ile Claude Code’a kurulur (/mlc-advise, /mlc-leak, /mlc-watch, ...).</w:t>
      </w:r>
    </w:p>
    <w:p>
      <w:pPr>
        <w:pStyle w:val="Heading2"/>
      </w:pPr>
      <w:r>
        <w:t xml:space="preserve">2.4 Deterministik sızıntı dedektörü</w:t>
      </w:r>
    </w:p>
    <w:p>
      <w:pPr>
        <w:spacing w:after="120"/>
      </w:pPr>
      <w:r>
        <w:t xml:space="preserve">Dosya: </w:t>
      </w:r>
      <w:r>
        <w:rPr>
          <w:rFonts w:ascii="Consolas" w:cs="Consolas" w:eastAsia="Consolas" w:hAnsi="Consolas"/>
          <w:sz w:val="20"/>
          <w:szCs w:val="20"/>
        </w:rPr>
        <w:t xml:space="preserve">src/mlcompass/tools/leakage.py</w:t>
      </w:r>
      <w:r>
        <w:t xml:space="preserve">. Değerlendirme sırasında sızıntı-şüphesi eşiği aşıldığında tetiklenir (AUC &gt; 0.995, doğruluk &gt; 0.99 veya R² &gt; 0.999; en az 50 satır koşuluyla). Katman gözlemseldir: hüküm üretmez, yapılandırılmış kanıt toplar:</w:t>
      </w:r>
    </w:p>
    <w:p>
      <w:pPr>
        <w:pStyle w:val="ListParagraph"/>
        <w:numPr>
          <w:ilvl w:val="0"/>
          <w:numId w:val="2"/>
        </w:numPr>
        <w:spacing w:after="60"/>
      </w:pPr>
      <w:r>
        <w:t xml:space="preserve">Hedef-öznitelik korelasyonları: sayısal hedefte hem Pearson hem sıralama-tabanlı (Spearman) hesaplanır, güçlü olan raporlanır (log-dönüşümlü sızıntılar Pearson’da 0.94’te kalabilir ama Spearman’da 1.0’dır). En güçlü 10 öznitelik tutulur.</w:t>
      </w:r>
    </w:p>
    <w:p>
      <w:pPr>
        <w:pStyle w:val="ListParagraph"/>
        <w:numPr>
          <w:ilvl w:val="0"/>
          <w:numId w:val="2"/>
        </w:numPr>
        <w:spacing w:after="60"/>
      </w:pPr>
      <w:r>
        <w:t xml:space="preserve">Aday sızıntı sütunları: </w:t>
      </w:r>
      <w:r>
        <w:t xml:space="preserve">mutlak korelasyonu 0.99 ve üzeri olanlar </w:t>
      </w:r>
      <w:r>
        <w:rPr>
          <w:rFonts w:ascii="Consolas" w:cs="Consolas" w:eastAsia="Consolas" w:hAnsi="Consolas"/>
          <w:sz w:val="20"/>
          <w:szCs w:val="20"/>
        </w:rPr>
        <w:t xml:space="preserve">candidate_leak_columns</w:t>
      </w:r>
      <w:r>
        <w:t xml:space="preserve"> listesine girer; listenin ilk elemanı “tamlık çapası” (anchor) olur.</w:t>
      </w:r>
    </w:p>
    <w:p>
      <w:pPr>
        <w:pStyle w:val="ListParagraph"/>
        <w:numPr>
          <w:ilvl w:val="0"/>
          <w:numId w:val="2"/>
        </w:numPr>
        <w:spacing w:after="60"/>
      </w:pPr>
      <w:r>
        <w:t xml:space="preserve">Mükemmel eşleşme oranı: </w:t>
      </w:r>
      <w:r>
        <w:t xml:space="preserve">y_pred ile y_true’nun birebir örtüşme oranı; 0.95 ve üzeri, sütunsuz sızıntı türlerinin (ör. train/test kontaminasyonu) kanalıdır.</w:t>
      </w:r>
    </w:p>
    <w:p>
      <w:pPr>
        <w:spacing w:after="120"/>
      </w:pPr>
      <w:r>
        <w:t xml:space="preserve">Çıktı, </w:t>
      </w:r>
      <w:r>
        <w:rPr>
          <w:rFonts w:ascii="Consolas" w:cs="Consolas" w:eastAsia="Consolas" w:hAnsi="Consolas"/>
          <w:sz w:val="20"/>
          <w:szCs w:val="20"/>
        </w:rPr>
        <w:t xml:space="preserve">evidence</w:t>
      </w:r>
      <w:r>
        <w:t xml:space="preserve"> adı verilen sabit şekilli bir sözlüktür (row_count, suspicious_metric, target_feature_correlations, perfect_match_rate, candidate_leak_columns, notes). Deney altyapısı da ürünle birebir aynı sözlüğü kullanır; “deney kanıtı ile ürün kanıtı farklı” eleştirisi bu şekilde kapatılmıştır.</w:t>
      </w:r>
    </w:p>
    <w:p>
      <w:pPr>
        <w:pStyle w:val="Heading1"/>
      </w:pPr>
      <w:r>
        <w:t xml:space="preserve">3. Bilimsel Çekirdek: Kanıta Bağlı Çalışma-Zamanı Şeması</w:t>
      </w:r>
    </w:p>
    <w:p>
      <w:pPr>
        <w:pStyle w:val="Heading2"/>
      </w:pPr>
      <w:r>
        <w:t xml:space="preserve">3.1 Güven sınırı</w:t>
      </w:r>
    </w:p>
    <w:p>
      <w:pPr>
        <w:spacing w:after="120"/>
      </w:pPr>
      <w:r>
        <w:t xml:space="preserve">Mimari değişmez (invariant): kullanıcıya ulaşan her alan, ya çağrı anında kısıtlanmış şemadan geçmiştir (Tier A) ya da deterministik yeniden-doğrulamadan (Tier B); iki yoldan en az biri her alan için zorunludur. LLM güven sınırının dışında konumlanır: rolü aday çıktı üretmektir, kabul kararı tamamen istemci kodundadır. Bu ayrım, anlatıcı modelin yetenek veya hizalama varsayımlarını garanti zincirinden çıkarır.</w:t>
      </w:r>
    </w:p>
    <w:p>
      <w:pPr>
        <w:pStyle w:val="Heading2"/>
      </w:pPr>
      <w:r>
        <w:t xml:space="preserve">3.2 Tier A: çağrı anı enum</w:t>
      </w:r>
    </w:p>
    <w:p>
      <w:pPr>
        <w:spacing w:after="120"/>
      </w:pPr>
      <w:r>
        <w:t xml:space="preserve">Fonksiyon: </w:t>
      </w:r>
      <w:r>
        <w:rPr>
          <w:rFonts w:ascii="Consolas" w:cs="Consolas" w:eastAsia="Consolas" w:hAnsi="Consolas"/>
          <w:sz w:val="20"/>
          <w:szCs w:val="20"/>
        </w:rPr>
        <w:t xml:space="preserve">build_submit_investigation_tool(allowed_columns)</w:t>
      </w:r>
      <w:r>
        <w:t xml:space="preserve"> (Anthropic formatı) ve </w:t>
      </w:r>
      <w:r>
        <w:rPr>
          <w:rFonts w:ascii="Consolas" w:cs="Consolas" w:eastAsia="Consolas" w:hAnsi="Consolas"/>
          <w:sz w:val="20"/>
          <w:szCs w:val="20"/>
        </w:rPr>
        <w:t xml:space="preserve">build_submit_investigation_tool_openai(...)</w:t>
      </w:r>
      <w:r>
        <w:t xml:space="preserve"> (OpenAI-uyumlu format). İzin verilen sütun kümesi </w:t>
      </w:r>
      <w:r>
        <w:rPr>
          <w:rFonts w:ascii="Consolas" w:cs="Consolas" w:eastAsia="Consolas" w:hAnsi="Consolas"/>
          <w:sz w:val="20"/>
          <w:szCs w:val="20"/>
        </w:rPr>
        <w:t xml:space="preserve">evidence_allowed_columns(evidence)</w:t>
      </w:r>
      <w:r>
        <w:t xml:space="preserve"> ile üretilir: aday sızıntı sütunları ile korelasyon geçişinde raporlanan tüm özniteliklerin birleşimi, sıralı liste.</w:t>
      </w:r>
    </w:p>
    <w:p>
      <w:pPr>
        <w:spacing w:after="120"/>
      </w:pPr>
      <w:r>
        <w:t xml:space="preserve">Aracın şemasında </w:t>
      </w:r>
      <w:r>
        <w:rPr>
          <w:rFonts w:ascii="Consolas" w:cs="Consolas" w:eastAsia="Consolas" w:hAnsi="Consolas"/>
          <w:sz w:val="20"/>
          <w:szCs w:val="20"/>
        </w:rPr>
        <w:t xml:space="preserve">columns_referenced[].enum</w:t>
      </w:r>
      <w:r>
        <w:t xml:space="preserve"> ve </w:t>
      </w:r>
      <w:r>
        <w:rPr>
          <w:rFonts w:ascii="Consolas" w:cs="Consolas" w:eastAsia="Consolas" w:hAnsi="Consolas"/>
          <w:sz w:val="20"/>
          <w:szCs w:val="20"/>
        </w:rPr>
        <w:t xml:space="preserve">claims[].column.enum</w:t>
      </w:r>
      <w:r>
        <w:t xml:space="preserve"> alanları bu listeye eşitlenir. Ayrıca verdict (leakage_likely / leakage_uncertain / score_legitimate / cannot_determine) ve confidence (high / medium / low / cannot_determine) alanları sabit enum’dur. Model, cevabını bu araca zorunlu tool_choice ile vermek zorundadır (Anthropic formatında {type: "tool", name: ...}; OpenAI formatında tool_choice: "required").</w:t>
      </w:r>
    </w:p>
    <w:p>
      <w:pPr>
        <w:spacing w:after="120"/>
      </w:pPr>
      <w:r>
        <w:t xml:space="preserve">Kanıtta üç öznitelik raporlanmışken üretilen şemanın ilgili parçası:</w:t>
      </w:r>
    </w:p>
    <w:p>
      <w:pPr>
        <w:shd w:fill="F2F2F2" w:val="clear"/>
        <w:spacing w:after="0"/>
        <w:ind w:left="240" w:right="240"/>
      </w:pPr>
      <w:r>
        <w:rPr>
          <w:rFonts w:ascii="Consolas" w:cs="Consolas" w:eastAsia="Consolas" w:hAnsi="Consolas"/>
          <w:sz w:val="18"/>
          <w:szCs w:val="18"/>
        </w:rPr>
        <w:t xml:space="preserve">"columns_referenced": {</w:t>
      </w:r>
    </w:p>
    <w:p>
      <w:pPr>
        <w:shd w:fill="F2F2F2" w:val="clear"/>
        <w:spacing w:after="0"/>
        <w:ind w:left="240" w:right="240"/>
      </w:pPr>
      <w:r>
        <w:rPr>
          <w:rFonts w:ascii="Consolas" w:cs="Consolas" w:eastAsia="Consolas" w:hAnsi="Consolas"/>
          <w:sz w:val="18"/>
          <w:szCs w:val="18"/>
        </w:rPr>
        <w:t xml:space="preserve">  "type": "array",</w:t>
      </w:r>
    </w:p>
    <w:p>
      <w:pPr>
        <w:shd w:fill="F2F2F2" w:val="clear"/>
        <w:spacing w:after="0"/>
        <w:ind w:left="240" w:right="240"/>
      </w:pPr>
      <w:r>
        <w:rPr>
          <w:rFonts w:ascii="Consolas" w:cs="Consolas" w:eastAsia="Consolas" w:hAnsi="Consolas"/>
          <w:sz w:val="18"/>
          <w:szCs w:val="18"/>
        </w:rPr>
        <w:t xml:space="preserve">  "items": { "type": "string",</w:t>
      </w:r>
    </w:p>
    <w:p>
      <w:pPr>
        <w:shd w:fill="F2F2F2" w:val="clear"/>
        <w:spacing w:after="0"/>
        <w:ind w:left="240" w:right="240"/>
      </w:pPr>
      <w:r>
        <w:rPr>
          <w:rFonts w:ascii="Consolas" w:cs="Consolas" w:eastAsia="Consolas" w:hAnsi="Consolas"/>
          <w:sz w:val="18"/>
          <w:szCs w:val="18"/>
        </w:rPr>
        <w:t xml:space="preserve">    "enum": ["feature_3", "log_target_v2", "near_target_proxy"] }</w:t>
      </w:r>
    </w:p>
    <w:p>
      <w:pPr>
        <w:shd w:fill="F2F2F2" w:val="clear"/>
        <w:spacing w:after="0"/>
        <w:ind w:left="240" w:right="240"/>
      </w:pPr>
      <w:r>
        <w:rPr>
          <w:rFonts w:ascii="Consolas" w:cs="Consolas" w:eastAsia="Consolas" w:hAnsi="Consolas"/>
          <w:sz w:val="18"/>
          <w:szCs w:val="18"/>
        </w:rPr>
        <w:t xml:space="preserve">},</w:t>
      </w:r>
    </w:p>
    <w:p>
      <w:pPr>
        <w:shd w:fill="F2F2F2" w:val="clear"/>
        <w:spacing w:after="0"/>
        <w:ind w:left="240" w:right="240"/>
      </w:pPr>
      <w:r>
        <w:rPr>
          <w:rFonts w:ascii="Consolas" w:cs="Consolas" w:eastAsia="Consolas" w:hAnsi="Consolas"/>
          <w:sz w:val="18"/>
          <w:szCs w:val="18"/>
        </w:rPr>
        <w:t xml:space="preserve">"claims": {</w:t>
      </w:r>
    </w:p>
    <w:p>
      <w:pPr>
        <w:shd w:fill="F2F2F2" w:val="clear"/>
        <w:spacing w:after="0"/>
        <w:ind w:left="240" w:right="240"/>
      </w:pPr>
      <w:r>
        <w:rPr>
          <w:rFonts w:ascii="Consolas" w:cs="Consolas" w:eastAsia="Consolas" w:hAnsi="Consolas"/>
          <w:sz w:val="18"/>
          <w:szCs w:val="18"/>
        </w:rPr>
        <w:t xml:space="preserve">  "type": "array",</w:t>
      </w:r>
    </w:p>
    <w:p>
      <w:pPr>
        <w:shd w:fill="F2F2F2" w:val="clear"/>
        <w:spacing w:after="0"/>
        <w:ind w:left="240" w:right="240"/>
      </w:pPr>
      <w:r>
        <w:rPr>
          <w:rFonts w:ascii="Consolas" w:cs="Consolas" w:eastAsia="Consolas" w:hAnsi="Consolas"/>
          <w:sz w:val="18"/>
          <w:szCs w:val="18"/>
        </w:rPr>
        <w:t xml:space="preserve">  "items": { "type": "object", "properties": {</w:t>
      </w:r>
    </w:p>
    <w:p>
      <w:pPr>
        <w:shd w:fill="F2F2F2" w:val="clear"/>
        <w:spacing w:after="0"/>
        <w:ind w:left="240" w:right="240"/>
      </w:pPr>
      <w:r>
        <w:rPr>
          <w:rFonts w:ascii="Consolas" w:cs="Consolas" w:eastAsia="Consolas" w:hAnsi="Consolas"/>
          <w:sz w:val="18"/>
          <w:szCs w:val="18"/>
        </w:rPr>
        <w:t xml:space="preserve">      "column":    { "type": "string", "enum": [ /* ayni liste */ ] },</w:t>
      </w:r>
    </w:p>
    <w:p>
      <w:pPr>
        <w:shd w:fill="F2F2F2" w:val="clear"/>
        <w:spacing w:after="0"/>
        <w:ind w:left="240" w:right="240"/>
      </w:pPr>
      <w:r>
        <w:rPr>
          <w:rFonts w:ascii="Consolas" w:cs="Consolas" w:eastAsia="Consolas" w:hAnsi="Consolas"/>
          <w:sz w:val="18"/>
          <w:szCs w:val="18"/>
        </w:rPr>
        <w:t xml:space="preserve">      "statistic": { "type": "string", "enum": ["correlation"] },</w:t>
      </w:r>
    </w:p>
    <w:p>
      <w:pPr>
        <w:shd w:fill="F2F2F2" w:val="clear"/>
        <w:spacing w:after="0"/>
        <w:ind w:left="240" w:right="240"/>
      </w:pPr>
      <w:r>
        <w:rPr>
          <w:rFonts w:ascii="Consolas" w:cs="Consolas" w:eastAsia="Consolas" w:hAnsi="Consolas"/>
          <w:sz w:val="18"/>
          <w:szCs w:val="18"/>
        </w:rPr>
        <w:t xml:space="preserve">      "value":     { "type": "number" } },</w:t>
      </w:r>
    </w:p>
    <w:p>
      <w:pPr>
        <w:shd w:fill="F2F2F2" w:val="clear"/>
        <w:spacing w:after="0"/>
        <w:ind w:left="240" w:right="240"/>
      </w:pPr>
      <w:r>
        <w:rPr>
          <w:rFonts w:ascii="Consolas" w:cs="Consolas" w:eastAsia="Consolas" w:hAnsi="Consolas"/>
          <w:sz w:val="18"/>
          <w:szCs w:val="18"/>
        </w:rPr>
        <w:t xml:space="preserve">    "required": ["column", "statistic", "value"] }</w:t>
      </w:r>
    </w:p>
    <w:p>
      <w:pPr>
        <w:shd w:fill="F2F2F2" w:val="clear"/>
        <w:spacing w:after="160"/>
        <w:ind w:left="240" w:right="240"/>
      </w:pPr>
      <w:r>
        <w:rPr>
          <w:rFonts w:ascii="Consolas" w:cs="Consolas" w:eastAsia="Consolas" w:hAnsi="Consolas"/>
          <w:sz w:val="18"/>
          <w:szCs w:val="18"/>
        </w:rPr>
        <w:t xml:space="preserve">}</w:t>
      </w:r>
    </w:p>
    <w:p>
      <w:pPr>
        <w:pStyle w:val="Heading2"/>
      </w:pPr>
      <w:r>
        <w:t xml:space="preserve">3.3 Tier B: üç kanallı deterministik doğrulama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526"/>
      </w:tblGrid>
      <w:tr>
        <w:trPr>
          <w:tblHeader/>
        </w:trPr>
        <w:tc>
          <w:tcPr>
            <w:tcW w:type="dxa" w:w="17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Kanal</w:t>
            </w:r>
          </w:p>
        </w:tc>
        <w:tc>
          <w:tcPr>
            <w:tcW w:type="dxa" w:w="38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Kural</w:t>
            </w:r>
          </w:p>
        </w:tc>
        <w:tc>
          <w:tcPr>
            <w:tcW w:type="dxa" w:w="3526"/>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İhlalde ne olur</w:t>
            </w:r>
          </w:p>
        </w:tc>
      </w:tr>
      <w:tr>
        <w:trPr>
          <w:tblHeader w:val="false"/>
        </w:trP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Varlık (entity)</w:t>
            </w:r>
          </w:p>
        </w:tc>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Atıf yapılan her sütun adı izinli kümede olmalı</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Retry; bütçe biterse ihlalli adlar silinir (strip)</w:t>
            </w:r>
          </w:p>
        </w:tc>
      </w:tr>
      <w:tr>
        <w:trPr>
          <w:tblHeader w:val="false"/>
        </w:trP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Değer (value)</w:t>
            </w:r>
          </w:p>
        </w:tc>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Her yapılandırılmış iddia {column, statistic, value} ölçülen korelasyonla ±0.005 tolerans içinde eşleşmeli</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Retry; bütçe biterse iddia silinir</w:t>
            </w:r>
          </w:p>
        </w:tc>
      </w:tr>
      <w:tr>
        <w:trPr>
          <w:tblHeader w:val="false"/>
        </w:trP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Tamlık (omission)</w:t>
            </w:r>
          </w:p>
        </w:tc>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Hükme varan yanıt (cannot_determine dışı) çapa sütununu ya atıfta ya iddiada anmalı</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Retry; silinerek onarılamaz, kalıcıysa bayraklanır (omitted_critical_evidence=true)</w:t>
            </w:r>
          </w:p>
        </w:tc>
      </w:tr>
    </w:tbl>
    <w:p>
      <w:pPr>
        <w:spacing w:after="120"/>
      </w:pPr>
      <w:r>
        <w:t xml:space="preserve"/>
      </w:r>
    </w:p>
    <w:p>
      <w:pPr>
        <w:spacing w:after="120"/>
      </w:pPr>
      <w:r>
        <w:t xml:space="preserve">Değer kanalındaki ±0.005 toleransı, yanlış-pozitif/yanlış-negatif dengesini şu kritere göre sabitler: iki ondalığa dürüst yuvarlama (0.9512 → “0.95”) ihlal sayılmaz; ölçülen 1.00 için 0.85 bildirmek ihlaldir. Tolerans değeri kontrat spesifikasyonunun parçasıdır ve bağımsız skorlayıcıda ayrıca yeniden beyan edilir (bkz. 4.5).</w:t>
      </w:r>
    </w:p>
    <w:p>
      <w:pPr>
        <w:pStyle w:val="Heading2"/>
      </w:pPr>
      <w:r>
        <w:t xml:space="preserve">3.4 Retry, Strip, Flag: iki önerme</w:t>
      </w:r>
    </w:p>
    <w:p>
      <w:pPr>
        <w:spacing w:after="120"/>
      </w:pPr>
      <w:r>
        <w:rPr>
          <w:b/>
          <w:bCs/>
        </w:rPr>
        <w:t xml:space="preserve">Önerme 1 (strip garantisi): </w:t>
      </w:r>
      <w:r>
        <w:t xml:space="preserve">varlık ve değer kanalları silme ile onarılabilir; retry bütçesi ne olursa olsun, kanıt dışı hiçbir sütun adı ve kanıtla uyuşmayan hiçbir sayı kullanıcıya ulaşmaz. Bu, olasılıksal değil yapısal bir garantidir.</w:t>
      </w:r>
    </w:p>
    <w:p>
      <w:pPr>
        <w:spacing w:after="120"/>
      </w:pPr>
      <w:r>
        <w:rPr>
          <w:b/>
          <w:bCs/>
        </w:rPr>
        <w:t xml:space="preserve">Önerme 2 (omisyon bayrağı): </w:t>
      </w:r>
      <w:r>
        <w:t xml:space="preserve">eksik bırakma silinerek onarılamaz (bir şeyi silmek, söylenmemiş olanı söyletmez); bu yüzden kalıcı omisyon bayraklanır ve bayrak kullanıcıya giden çıktının parçasıdır. Silme sonrası yeniden kontrol vardır: değer ihlali silinince çapa artık anılmıyorsa omisyon bayrağı yeniden değerlendirilir (post-strip recheck).</w:t>
      </w:r>
    </w:p>
    <w:p>
      <w:pPr>
        <w:spacing w:after="120"/>
      </w:pPr>
      <w:r>
        <w:t xml:space="preserve">Doğrulama döngüsünün sadeleştirilmiş kontrol akışı:</w:t>
      </w:r>
    </w:p>
    <w:p>
      <w:pPr>
        <w:shd w:fill="F2F2F2" w:val="clear"/>
        <w:spacing w:after="0"/>
        <w:ind w:left="240" w:right="240"/>
      </w:pPr>
      <w:r>
        <w:rPr>
          <w:rFonts w:ascii="Consolas" w:cs="Consolas" w:eastAsia="Consolas" w:hAnsi="Consolas"/>
          <w:sz w:val="18"/>
          <w:szCs w:val="18"/>
        </w:rPr>
        <w:t xml:space="preserve">for attempt in 0 .. max_retries:</w:t>
      </w:r>
    </w:p>
    <w:p>
      <w:pPr>
        <w:shd w:fill="F2F2F2" w:val="clear"/>
        <w:spacing w:after="0"/>
        <w:ind w:left="240" w:right="240"/>
      </w:pPr>
      <w:r>
        <w:rPr>
          <w:rFonts w:ascii="Consolas" w:cs="Consolas" w:eastAsia="Consolas" w:hAnsi="Consolas"/>
          <w:sz w:val="18"/>
          <w:szCs w:val="18"/>
        </w:rPr>
        <w:t xml:space="preserve">    yanit = saglayici_cagrisi(system, user + duzeltme, tool)  # zorunlu tool_choice</w:t>
      </w:r>
    </w:p>
    <w:p>
      <w:pPr>
        <w:shd w:fill="F2F2F2" w:val="clear"/>
        <w:spacing w:after="0"/>
        <w:ind w:left="240" w:right="240"/>
      </w:pPr>
      <w:r>
        <w:rPr>
          <w:rFonts w:ascii="Consolas" w:cs="Consolas" w:eastAsia="Consolas" w:hAnsi="Consolas"/>
          <w:sz w:val="18"/>
          <w:szCs w:val="18"/>
        </w:rPr>
        <w:t xml:space="preserve">    E = { c in columns_referenced : c izinli kumede degil }   # varlik ihlalleri</w:t>
      </w:r>
    </w:p>
    <w:p>
      <w:pPr>
        <w:shd w:fill="F2F2F2" w:val="clear"/>
        <w:spacing w:after="0"/>
        <w:ind w:left="240" w:right="240"/>
      </w:pPr>
      <w:r>
        <w:rPr>
          <w:rFonts w:ascii="Consolas" w:cs="Consolas" w:eastAsia="Consolas" w:hAnsi="Consolas"/>
          <w:sz w:val="18"/>
          <w:szCs w:val="18"/>
        </w:rPr>
        <w:t xml:space="preserve">    V = { iddia : column kanit disi  VEYA  |value - corr[column]| &gt; 0.005 }</w:t>
      </w:r>
    </w:p>
    <w:p>
      <w:pPr>
        <w:shd w:fill="F2F2F2" w:val="clear"/>
        <w:spacing w:after="0"/>
        <w:ind w:left="240" w:right="240"/>
      </w:pPr>
      <w:r>
        <w:rPr>
          <w:rFonts w:ascii="Consolas" w:cs="Consolas" w:eastAsia="Consolas" w:hAnsi="Consolas"/>
          <w:sz w:val="18"/>
          <w:szCs w:val="18"/>
        </w:rPr>
        <w:t xml:space="preserve">    O = (verdict hukum iceriyor) VE (capa ne atifta ne iddiada)</w:t>
      </w:r>
    </w:p>
    <w:p>
      <w:pPr>
        <w:shd w:fill="F2F2F2" w:val="clear"/>
        <w:spacing w:after="0"/>
        <w:ind w:left="240" w:right="240"/>
      </w:pPr>
      <w:r>
        <w:rPr>
          <w:rFonts w:ascii="Consolas" w:cs="Consolas" w:eastAsia="Consolas" w:hAnsi="Consolas"/>
          <w:sz w:val="18"/>
          <w:szCs w:val="18"/>
        </w:rPr>
        <w:t xml:space="preserve">    if E bos VE V bos VE O yanlis: break                      # temiz yanit</w:t>
      </w:r>
    </w:p>
    <w:p>
      <w:pPr>
        <w:shd w:fill="F2F2F2" w:val="clear"/>
        <w:spacing w:after="0"/>
        <w:ind w:left="240" w:right="240"/>
      </w:pPr>
      <w:r>
        <w:rPr>
          <w:rFonts w:ascii="Consolas" w:cs="Consolas" w:eastAsia="Consolas" w:hAnsi="Consolas"/>
          <w:sz w:val="18"/>
          <w:szCs w:val="18"/>
        </w:rPr>
        <w:t xml:space="preserve">    schema_rejections += 1;  rejection_kinds.append(E/V/O bilesimi)</w:t>
      </w:r>
    </w:p>
    <w:p>
      <w:pPr>
        <w:shd w:fill="F2F2F2" w:val="clear"/>
        <w:spacing w:after="0"/>
        <w:ind w:left="240" w:right="240"/>
      </w:pPr>
      <w:r>
        <w:rPr>
          <w:rFonts w:ascii="Consolas" w:cs="Consolas" w:eastAsia="Consolas" w:hAnsi="Consolas"/>
          <w:sz w:val="18"/>
          <w:szCs w:val="18"/>
        </w:rPr>
        <w:t xml:space="preserve">    duzeltme = ihlalleri ADIYLA sayan mesaj   # correction_style=generic: icerik yok</w:t>
      </w:r>
    </w:p>
    <w:p>
      <w:pPr>
        <w:shd w:fill="F2F2F2" w:val="clear"/>
        <w:spacing w:after="0"/>
        <w:ind w:left="240" w:right="240"/>
      </w:pPr>
      <w:r>
        <w:rPr>
          <w:rFonts w:ascii="Consolas" w:cs="Consolas" w:eastAsia="Consolas" w:hAnsi="Consolas"/>
          <w:sz w:val="18"/>
          <w:szCs w:val="18"/>
        </w:rPr>
        <w:t xml:space="preserve"> </w:t>
      </w:r>
    </w:p>
    <w:p>
      <w:pPr>
        <w:shd w:fill="F2F2F2" w:val="clear"/>
        <w:spacing w:after="0"/>
        <w:ind w:left="240" w:right="240"/>
      </w:pPr>
      <w:r>
        <w:rPr>
          <w:rFonts w:ascii="Consolas" w:cs="Consolas" w:eastAsia="Consolas" w:hAnsi="Consolas"/>
          <w:sz w:val="18"/>
          <w:szCs w:val="18"/>
        </w:rPr>
        <w:t xml:space="preserve"># retry butcesi bitti -&gt; deterministik son islem:</w:t>
      </w:r>
    </w:p>
    <w:p>
      <w:pPr>
        <w:shd w:fill="F2F2F2" w:val="clear"/>
        <w:spacing w:after="0"/>
        <w:ind w:left="240" w:right="240"/>
      </w:pPr>
      <w:r>
        <w:rPr>
          <w:rFonts w:ascii="Consolas" w:cs="Consolas" w:eastAsia="Consolas" w:hAnsi="Consolas"/>
          <w:sz w:val="18"/>
          <w:szCs w:val="18"/>
        </w:rPr>
        <w:t xml:space="preserve">columns_referenced = [c for c in columns_referenced if c izinli]   # strip (Onerme 1)</w:t>
      </w:r>
    </w:p>
    <w:p>
      <w:pPr>
        <w:shd w:fill="F2F2F2" w:val="clear"/>
        <w:spacing w:after="0"/>
        <w:ind w:left="240" w:right="240"/>
      </w:pPr>
      <w:r>
        <w:rPr>
          <w:rFonts w:ascii="Consolas" w:cs="Consolas" w:eastAsia="Consolas" w:hAnsi="Consolas"/>
          <w:sz w:val="18"/>
          <w:szCs w:val="18"/>
        </w:rPr>
        <w:t xml:space="preserve">claims             = [i for i in claims if deger toleransta]       # strip (Onerme 1)</w:t>
      </w:r>
    </w:p>
    <w:p>
      <w:pPr>
        <w:shd w:fill="F2F2F2" w:val="clear"/>
        <w:spacing w:after="160"/>
        <w:ind w:left="240" w:right="240"/>
      </w:pPr>
      <w:r>
        <w:rPr>
          <w:rFonts w:ascii="Consolas" w:cs="Consolas" w:eastAsia="Consolas" w:hAnsi="Consolas"/>
          <w:sz w:val="18"/>
          <w:szCs w:val="18"/>
        </w:rPr>
        <w:t xml:space="preserve">omitted_critical_evidence = O(post-strip alanlar uzerinden)        # flag  (Onerme 2)</w:t>
      </w:r>
    </w:p>
    <w:p>
      <w:pPr>
        <w:pStyle w:val="Heading2"/>
      </w:pPr>
      <w:r>
        <w:t xml:space="preserve">3.5 API yüzeyi</w:t>
      </w:r>
    </w:p>
    <w:p>
      <w:pPr>
        <w:spacing w:after="120"/>
      </w:pPr>
      <w:r>
        <w:t xml:space="preserve">Ana giriş: </w:t>
      </w:r>
      <w:r>
        <w:rPr>
          <w:rFonts w:ascii="Consolas" w:cs="Consolas" w:eastAsia="Consolas" w:hAnsi="Consolas"/>
          <w:sz w:val="20"/>
          <w:szCs w:val="20"/>
        </w:rPr>
        <w:t xml:space="preserve">investigate_leakage_bound(evidence, ...)</w:t>
      </w:r>
      <w:r>
        <w:t xml:space="preserve"> (</w:t>
      </w:r>
      <w:r>
        <w:rPr>
          <w:rFonts w:ascii="Consolas" w:cs="Consolas" w:eastAsia="Consolas" w:hAnsi="Consolas"/>
          <w:sz w:val="20"/>
          <w:szCs w:val="20"/>
        </w:rPr>
        <w:t xml:space="preserve">src/mlcompass/agents/leakage_investigator.py</w:t>
      </w:r>
      <w:r>
        <w:t xml:space="preserve">). Önemli parametreler: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Parametre</w:t>
            </w:r>
          </w:p>
        </w:tc>
        <w:tc>
          <w:tcPr>
            <w:tcW w:type="dxa" w:w="6426"/>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Anlamı</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provider</w:t>
            </w:r>
            <w:r>
              <w:rPr>
                <w:b w:val="false"/>
                <w:bCs w:val="false"/>
                <w:sz w:val="19"/>
                <w:szCs w:val="19"/>
              </w:rPr>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“anthropic” veya “openai” (DeepSeek gibi OpenAI-uyumlu uçlar dahil); aynı iç şema iki formata da açılır</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max_retries</w:t>
            </w:r>
            <w:r>
              <w:rPr>
                <w:b w:val="false"/>
                <w:bCs w:val="false"/>
                <w:sz w:val="19"/>
                <w:szCs w:val="19"/>
              </w:rPr>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Düzeltme denemesi bütçesi (varsayılan 2; toplam 3 çağrıya kadar)</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enforce_schema_enum</w:t>
            </w:r>
            <w:r>
              <w:rPr>
                <w:b w:val="false"/>
                <w:bCs w:val="false"/>
                <w:sz w:val="19"/>
                <w:szCs w:val="19"/>
              </w:rPr>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False = Tier A enum’ları şemadan düşürülür (STRESS tanı kolu); üretimde True</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system_prompt</w:t>
            </w:r>
            <w:r>
              <w:rPr>
                <w:b w:val="false"/>
                <w:bCs w:val="false"/>
                <w:sz w:val="19"/>
                <w:szCs w:val="19"/>
              </w:rPr>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None = ürünün sıkı kontrat prompt’u; ölçüm kolları çıplak prompt geçirebilir</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strict_tools</w:t>
            </w:r>
            <w:r>
              <w:rPr>
                <w:b w:val="false"/>
                <w:bCs w:val="false"/>
                <w:sz w:val="19"/>
                <w:szCs w:val="19"/>
              </w:rPr>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True = sağlayıcının belgeli strict bayrağı + strict-uyumlu şema varyantı (H4 ölçümleri); Tier B davranışı değişmez</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correction_style</w:t>
            </w:r>
            <w:r>
              <w:rPr>
                <w:b w:val="false"/>
                <w:bCs w:val="false"/>
                <w:sz w:val="19"/>
                <w:szCs w:val="19"/>
              </w:rPr>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“named” = ihlaller tek tek sayılır; “generic” = içeriksiz ret mesajı (H5 kontrol kolu)</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neutral_user</w:t>
            </w:r>
            <w:r>
              <w:rPr>
                <w:b w:val="false"/>
                <w:bCs w:val="false"/>
                <w:sz w:val="19"/>
                <w:szCs w:val="19"/>
              </w:rPr>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True = kullanıcı mesajı kontrat lafı içermeyen çıplak kanıt mesajı (STRESS kolunu L1 ile hizalar)</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temperature</w:t>
            </w:r>
            <w:r>
              <w:rPr>
                <w:b w:val="false"/>
                <w:bCs w:val="false"/>
                <w:sz w:val="19"/>
                <w:szCs w:val="19"/>
              </w:rPr>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None = gönderilmez; ölçüm koşuları 1.0 pinler ve kaydeder</w:t>
            </w:r>
          </w:p>
        </w:tc>
      </w:tr>
    </w:tbl>
    <w:p>
      <w:pPr>
        <w:spacing w:after="120"/>
      </w:pPr>
      <w:r>
        <w:t xml:space="preserve"/>
      </w:r>
    </w:p>
    <w:p>
      <w:pPr>
        <w:spacing w:after="120"/>
      </w:pPr>
      <w:r>
        <w:t xml:space="preserve">Dönen sözlükte: </w:t>
      </w:r>
      <w:r>
        <w:rPr>
          <w:rFonts w:ascii="Consolas" w:cs="Consolas" w:eastAsia="Consolas" w:hAnsi="Consolas"/>
          <w:sz w:val="20"/>
          <w:szCs w:val="20"/>
        </w:rPr>
        <w:t xml:space="preserve">verdict, confidence, columns_referenced, claims, narration, recommended_checks</w:t>
      </w:r>
      <w:r>
        <w:t xml:space="preserve"> (kullanıcıya bakan alanlar) + telemetri: </w:t>
      </w:r>
      <w:r>
        <w:rPr>
          <w:rFonts w:ascii="Consolas" w:cs="Consolas" w:eastAsia="Consolas" w:hAnsi="Consolas"/>
          <w:sz w:val="20"/>
          <w:szCs w:val="20"/>
        </w:rPr>
        <w:t xml:space="preserve">schema_rejections, rejection_kinds (entity/value/omission bileşimleri), attempts_made, had_unrecoverable_violation, omitted_critical_evidence, evidence_bound</w:t>
      </w:r>
      <w:r>
        <w:t xml:space="preserve">.</w:t>
      </w:r>
    </w:p>
    <w:p>
      <w:pPr>
        <w:pStyle w:val="Heading2"/>
      </w:pPr>
      <w:r>
        <w:t xml:space="preserve">3.6 Strict araç varyantı ve düzeltme stilleri</w:t>
      </w:r>
    </w:p>
    <w:p>
      <w:pPr>
        <w:spacing w:after="120"/>
      </w:pPr>
      <w:r>
        <w:t xml:space="preserve">Strict varyant (H4 deneyleri için): şemadaki tüm alanlar required yapılır, tüm nesneler additionalProperties=false ile kapatılır ve sağlayıcının belgeli strict bayrağı (Anthropic: tool.strict; OpenAI-format: function.strict) eklenir. Anlamsal içerik değişmez; yalnızca decode-zamanı zorlamaya uygun hale gelir. Varsayılanda bayrak HİÇ eklenmez (bazı sağlayıcılarda strict=false ile bayraksız istek farklı davranır).</w:t>
      </w:r>
    </w:p>
    <w:p>
      <w:pPr>
        <w:spacing w:after="120"/>
      </w:pPr>
      <w:r>
        <w:t xml:space="preserve">Jenerik düzeltme stili (H5 kontrolü): standart düzeltme mesajı ihlali adıyla söyler (“şu sütunlar kanıtta yok: ...; yalnızca şunlara atıf yapabilirsin: ...”). Jenerik stil ise yalnızca “önceki cevabın reddedildi, tekrar cevapla” der. İkisi arasındaki fark, “ikinci şans etkisi” ile “ihlalin adlandırılması etkisi”ni ayırır.</w:t>
      </w:r>
    </w:p>
    <w:p>
      <w:pPr>
        <w:pStyle w:val="Heading1"/>
      </w:pPr>
      <w:r>
        <w:t xml:space="preserve">4. Ölçüm Altyapısı (Harness)</w:t>
      </w:r>
    </w:p>
    <w:p>
      <w:pPr>
        <w:spacing w:after="120"/>
      </w:pPr>
      <w:r>
        <w:t xml:space="preserve">Dosya: </w:t>
      </w:r>
      <w:r>
        <w:rPr>
          <w:rFonts w:ascii="Consolas" w:cs="Consolas" w:eastAsia="Consolas" w:hAnsi="Consolas"/>
          <w:sz w:val="20"/>
          <w:szCs w:val="20"/>
        </w:rPr>
        <w:t xml:space="preserve">scripts/reproduce_hallucination_ablation.py</w:t>
      </w:r>
      <w:r>
        <w:t xml:space="preserve">. Tüm canlı ölçümlerin tek giriş noktasıdır. Mock modu ölçüm üretmez: geçmiş bir koşunun oranlarını simülasyonla yeniden oynatır ve çıktı başlığında bunu açıkça bildirir; Tablo-1 sınıfı her sonuç yalnızca --mode live kayıtlarından türetilebilir.</w:t>
      </w:r>
    </w:p>
    <w:p>
      <w:pPr>
        <w:pStyle w:val="Heading2"/>
      </w:pPr>
      <w:r>
        <w:t xml:space="preserve">4.1 Deney kolları (arms)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Kol</w:t>
            </w:r>
          </w:p>
        </w:tc>
        <w:tc>
          <w:tcPr>
            <w:tcW w:type="dxa" w:w="6626"/>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Konfigürasyon</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layer1</w:t>
            </w:r>
            <w:r>
              <w:rPr>
                <w:b w:val="false"/>
                <w:bCs w:val="false"/>
                <w:sz w:val="19"/>
                <w:szCs w:val="19"/>
              </w:rPr>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Çıplak prompt + açık araç (enum yok) + doğrulama yok: ham fabrikasyon tabanı</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layer2</w:t>
            </w:r>
            <w:r>
              <w:rPr>
                <w:b w:val="false"/>
                <w:bCs w:val="false"/>
                <w:sz w:val="19"/>
                <w:szCs w:val="19"/>
              </w:rPr>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Sıkı kurallı prompt + açık araç: yalnızca prompt ne kadar taşır?</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layer3</w:t>
            </w:r>
            <w:r>
              <w:rPr>
                <w:b w:val="false"/>
                <w:bCs w:val="false"/>
                <w:sz w:val="19"/>
                <w:szCs w:val="19"/>
              </w:rPr>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Tam kontrat: Tier A enum + Tier B doğrulama (ürünün gönderdiği yol)</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layer3_stress</w:t>
            </w:r>
            <w:r>
              <w:rPr>
                <w:b w:val="false"/>
                <w:bCs w:val="false"/>
                <w:sz w:val="19"/>
                <w:szCs w:val="19"/>
              </w:rPr>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STRESS: çıplak prompt + enum KAPALI + yalnız Tier B; her yakalama görünür; adlandırılmış düzeltme</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layer3_stress_generic</w:t>
            </w:r>
            <w:r>
              <w:rPr>
                <w:b w:val="false"/>
                <w:bCs w:val="false"/>
                <w:sz w:val="19"/>
                <w:szCs w:val="19"/>
              </w:rPr>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STRESS’in H5 kontrol ikizi: düzeltme mesajı içeriksiz (jenerik)</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tier_a</w:t>
            </w:r>
            <w:r>
              <w:rPr>
                <w:b w:val="false"/>
                <w:bCs w:val="false"/>
                <w:sz w:val="19"/>
                <w:szCs w:val="19"/>
              </w:rPr>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Yalnız Tier A: enum şemada, Tier B kapalı; enum tek başına ne kadar yönlendiriyor?</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stress_mech</w:t>
            </w:r>
            <w:r>
              <w:rPr>
                <w:b w:val="false"/>
                <w:bCs w:val="false"/>
                <w:sz w:val="19"/>
                <w:szCs w:val="19"/>
              </w:rPr>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Tam kontrat + sweep’in en kötü parafrazı: “kontrat yalnız zayıf konfigde mi işe yarıyor” itirazının cevabı</w:t>
            </w:r>
          </w:p>
        </w:tc>
      </w:tr>
    </w:tbl>
    <w:p>
      <w:pPr>
        <w:spacing w:after="120"/>
      </w:pPr>
      <w:r>
        <w:t xml:space="preserve"/>
      </w:r>
    </w:p>
    <w:p>
      <w:pPr>
        <w:pStyle w:val="Heading2"/>
      </w:pPr>
      <w:r>
        <w:t xml:space="preserve">4.2 Parafraz taraması (sweep)</w:t>
      </w:r>
    </w:p>
    <w:p>
      <w:pPr>
        <w:spacing w:after="120"/>
      </w:pPr>
      <w:r>
        <w:t xml:space="preserve">Aynı görev, aynı kanıt, aynı açık araç; yalnızca kural içermeyen sistem prompt’u altı varyasyonla değiştirilir. Haziran gözlemi: varlık-fabrikasyon oranı parafrazlar arasında 1/100 ile 100/100 aralığında değişti. Bu bulgu, prompt-yalnız çözümlerin örtük kararlılık varsayımını (parafraz-değişmezliği) doğrudan test eder ve reddeder; en az iki sağlayıcıda replikasyonu ön-kayıtlıdır (R5).</w:t>
      </w:r>
    </w:p>
    <w:p>
      <w:pPr>
        <w:pStyle w:val="Heading2"/>
      </w:pPr>
      <w:r>
        <w:t xml:space="preserve">4.3 Para güvenliği (ödenmiş çağrıları koruma)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Mekanizma</w:t>
            </w:r>
          </w:p>
        </w:tc>
        <w:tc>
          <w:tcPr>
            <w:tcW w:type="dxa" w:w="6426"/>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Ne sağlar</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--check-providers</w:t>
            </w:r>
            <w:r>
              <w:rPr>
                <w:b w:val="false"/>
                <w:bCs w:val="false"/>
                <w:sz w:val="19"/>
                <w:szCs w:val="19"/>
              </w:rPr>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Sıfır maliyetli kablolama kontrolü: 9 sağlayıcının anahtar/model/base_url tablosu, hiç çağrı yapmadan</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--dry-run</w:t>
            </w:r>
            <w:r>
              <w:rPr>
                <w:b w:val="false"/>
                <w:bCs w:val="false"/>
                <w:sz w:val="19"/>
                <w:szCs w:val="19"/>
              </w:rPr>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Hücre planı + tahmini maliyet basar, hiçbir çağrı yapmadan çıkar</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--smoke</w:t>
            </w:r>
            <w:r>
              <w:rPr>
                <w:b w:val="false"/>
                <w:bCs w:val="false"/>
                <w:sz w:val="19"/>
                <w:szCs w:val="19"/>
              </w:rPr>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N=5, yalnız layer1+layer3 (~10 ucuz çağrı) ile kablolama doğrulaması; --resume ile birleşmeyi reddeder</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--max-cost-usd</w:t>
            </w:r>
            <w:r>
              <w:rPr>
                <w:b w:val="false"/>
                <w:bCs w:val="false"/>
                <w:sz w:val="19"/>
                <w:szCs w:val="19"/>
              </w:rPr>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Tahmini maliyet bütçeyi aşarsa daha İLK çağrıdan önce iptal</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RunLog</w:t>
            </w:r>
            <w:r>
              <w:rPr>
                <w:b w:val="false"/>
                <w:bCs w:val="false"/>
                <w:sz w:val="19"/>
                <w:szCs w:val="19"/>
              </w:rPr>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Her ödenmiş yanıt alınır alınmaz JSONL’e append+flush edilir; işlem kesintisi (crash/SIGINT) veri kaybına yol açmaz</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--resume</w:t>
            </w:r>
            <w:r>
              <w:rPr>
                <w:b w:val="false"/>
                <w:bCs w:val="false"/>
                <w:sz w:val="19"/>
                <w:szCs w:val="19"/>
              </w:rPr>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Kesilen koşu son geçerli kayıttan devam eder; kesinti anındaki yarım satır (kırık kuyruk) ilk append’den önce onarılır, mükerrer ücretlendirme oluşmaz</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Evidence hash</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Hücre dosya adı kanıt sözlüğünün içerik-hash’ini taşır: farklı kanıtla üretilmiş yanıtlar aynı hücrede birleşemez</w:t>
            </w:r>
          </w:p>
        </w:tc>
      </w:tr>
    </w:tbl>
    <w:p>
      <w:pPr>
        <w:spacing w:after="120"/>
      </w:pPr>
      <w:r>
        <w:t xml:space="preserve"/>
      </w:r>
    </w:p>
    <w:p>
      <w:pPr>
        <w:pStyle w:val="Heading2"/>
      </w:pPr>
      <w:r>
        <w:t xml:space="preserve">4.4 Örnekleme pini, hata işaretleyicileri, kayıt kimliği</w:t>
      </w:r>
    </w:p>
    <w:p>
      <w:pPr>
        <w:pStyle w:val="ListParagraph"/>
        <w:numPr>
          <w:ilvl w:val="0"/>
          <w:numId w:val="2"/>
        </w:numPr>
        <w:spacing w:after="60"/>
      </w:pPr>
      <w:r>
        <w:rPr>
          <w:b/>
          <w:bCs/>
        </w:rPr>
        <w:t xml:space="preserve">Temperature pini: </w:t>
      </w:r>
      <w:r>
        <w:t xml:space="preserve">tüm canlı çağrılara temperature=1.0 gönderilir (CLI: --temperature). Parametreyi reddeden uçlarda (reasoning modelleri) pin düşürülür ve kayda null yazılır; her JSONL kaydında sampling.temperature vardır. top_p hiç gönderilmez. Amaç: H1’in sağlayıcılar-arası karşılaştırmasında decode ayarını ortak sabitlemek.</w:t>
      </w:r>
    </w:p>
    <w:p>
      <w:pPr>
        <w:pStyle w:val="ListParagraph"/>
        <w:numPr>
          <w:ilvl w:val="0"/>
          <w:numId w:val="2"/>
        </w:numPr>
        <w:spacing w:after="60"/>
      </w:pPr>
      <w:r>
        <w:rPr>
          <w:b/>
          <w:bCs/>
        </w:rPr>
        <w:t xml:space="preserve">Hata işaretleyicileri (A3.9b): </w:t>
      </w:r>
      <w:r>
        <w:t xml:space="preserve">iki denemede de taşıma hatası (429, timeout) alan yanıt, temiz veri gibi skorlanmaz; {error: “...”} işaretiyle loglanır, skorlamadan DIŞLANIR ve hücre başına errors_excluded olarak raporlanır. Sweep yolu dahil.</w:t>
      </w:r>
    </w:p>
    <w:p>
      <w:pPr>
        <w:pStyle w:val="ListParagraph"/>
        <w:numPr>
          <w:ilvl w:val="0"/>
          <w:numId w:val="2"/>
        </w:numPr>
        <w:spacing w:after="60"/>
      </w:pPr>
      <w:r>
        <w:rPr>
          <w:b/>
          <w:bCs/>
        </w:rPr>
        <w:t xml:space="preserve">Kayıt kimliği: </w:t>
      </w:r>
      <w:r>
        <w:t xml:space="preserve">her kayıtta provider / task / seed / evidence_hash / arm / model alanları vardır; tablo üreticileri dosya adı ayrıştırmaz. Kanıt sözlüğü de evidence_&lt;hash&gt;.json olarak logların yanına dökülür.</w:t>
      </w:r>
    </w:p>
    <w:p>
      <w:pPr>
        <w:spacing w:after="120"/>
      </w:pPr>
      <w:r>
        <w:t xml:space="preserve">Örnek JSONL kaydı (tek satır; okunabilirlik için kırılmış):</w:t>
      </w:r>
    </w:p>
    <w:p>
      <w:pPr>
        <w:shd w:fill="F2F2F2" w:val="clear"/>
        <w:spacing w:after="0"/>
        <w:ind w:left="240" w:right="240"/>
      </w:pPr>
      <w:r>
        <w:rPr>
          <w:rFonts w:ascii="Consolas" w:cs="Consolas" w:eastAsia="Consolas" w:hAnsi="Consolas"/>
          <w:sz w:val="18"/>
          <w:szCs w:val="18"/>
        </w:rPr>
        <w:t xml:space="preserve">{"provider":"deepseek","task":"synthetic","seed":0,"evidence_hash":"a1b2c3d4",</w:t>
      </w:r>
    </w:p>
    <w:p>
      <w:pPr>
        <w:shd w:fill="F2F2F2" w:val="clear"/>
        <w:spacing w:after="0"/>
        <w:ind w:left="240" w:right="240"/>
      </w:pPr>
      <w:r>
        <w:rPr>
          <w:rFonts w:ascii="Consolas" w:cs="Consolas" w:eastAsia="Consolas" w:hAnsi="Consolas"/>
          <w:sz w:val="18"/>
          <w:szCs w:val="18"/>
        </w:rPr>
        <w:t xml:space="preserve"> "i":17,"arm":"layer3_stress","model":"deepseek-v4-flash",</w:t>
      </w:r>
    </w:p>
    <w:p>
      <w:pPr>
        <w:shd w:fill="F2F2F2" w:val="clear"/>
        <w:spacing w:after="0"/>
        <w:ind w:left="240" w:right="240"/>
      </w:pPr>
      <w:r>
        <w:rPr>
          <w:rFonts w:ascii="Consolas" w:cs="Consolas" w:eastAsia="Consolas" w:hAnsi="Consolas"/>
          <w:sz w:val="18"/>
          <w:szCs w:val="18"/>
        </w:rPr>
        <w:t xml:space="preserve"> "columns":["log_target_v2"],"claims":[],"verdict":"leakage_likely",</w:t>
      </w:r>
    </w:p>
    <w:p>
      <w:pPr>
        <w:shd w:fill="F2F2F2" w:val="clear"/>
        <w:spacing w:after="0"/>
        <w:ind w:left="240" w:right="240"/>
      </w:pPr>
      <w:r>
        <w:rPr>
          <w:rFonts w:ascii="Consolas" w:cs="Consolas" w:eastAsia="Consolas" w:hAnsi="Consolas"/>
          <w:sz w:val="18"/>
          <w:szCs w:val="18"/>
        </w:rPr>
        <w:t xml:space="preserve"> "rejections":1,"rejection_kinds":["entity"],</w:t>
      </w:r>
    </w:p>
    <w:p>
      <w:pPr>
        <w:shd w:fill="F2F2F2" w:val="clear"/>
        <w:spacing w:after="0"/>
        <w:ind w:left="240" w:right="240"/>
      </w:pPr>
      <w:r>
        <w:rPr>
          <w:rFonts w:ascii="Consolas" w:cs="Consolas" w:eastAsia="Consolas" w:hAnsi="Consolas"/>
          <w:sz w:val="18"/>
          <w:szCs w:val="18"/>
        </w:rPr>
        <w:t xml:space="preserve"> "sampling":{"temperature":1.0},</w:t>
      </w:r>
    </w:p>
    <w:p>
      <w:pPr>
        <w:shd w:fill="F2F2F2" w:val="clear"/>
        <w:spacing w:after="0"/>
        <w:ind w:left="240" w:right="240"/>
      </w:pPr>
      <w:r>
        <w:rPr>
          <w:rFonts w:ascii="Consolas" w:cs="Consolas" w:eastAsia="Consolas" w:hAnsi="Consolas"/>
          <w:sz w:val="18"/>
          <w:szCs w:val="18"/>
        </w:rPr>
        <w:t xml:space="preserve"> "usage_in":1287,"usage_out":214,"latency_ms":1843.2,</w:t>
      </w:r>
    </w:p>
    <w:p>
      <w:pPr>
        <w:shd w:fill="F2F2F2" w:val="clear"/>
        <w:spacing w:after="160"/>
        <w:ind w:left="240" w:right="240"/>
      </w:pPr>
      <w:r>
        <w:rPr>
          <w:rFonts w:ascii="Consolas" w:cs="Consolas" w:eastAsia="Consolas" w:hAnsi="Consolas"/>
          <w:sz w:val="18"/>
          <w:szCs w:val="18"/>
        </w:rPr>
        <w:t xml:space="preserve"> "scored":{"entity":false,"value":false,"omission":false}}</w:t>
      </w:r>
    </w:p>
    <w:p>
      <w:pPr>
        <w:spacing w:after="120"/>
      </w:pPr>
      <w:r>
        <w:rPr>
          <w:i/>
          <w:iCs/>
        </w:rPr>
        <w:t xml:space="preserve">Okuma: </w:t>
      </w:r>
      <w:r>
        <w:rPr>
          <w:i/>
          <w:iCs/>
        </w:rPr>
        <w:t xml:space="preserve">bu yanıt ilk denemede bir varlık ihlaliyle reddedilmiş (rejections=1, kind=entity), düzeltme sonrası temiz alanlarla dönmüş; kullanıcıya bakan skorlar üç kanalda da temiz. usage_* alanları token sayımı, latency_ms uçtan uca gecikmedir (R6 telemetrisi).</w:t>
      </w:r>
    </w:p>
    <w:p>
      <w:pPr>
        <w:pStyle w:val="Heading2"/>
      </w:pPr>
      <w:r>
        <w:t xml:space="preserve">4.5 Bağımsız skorlayıcı ve tablo üretimi</w:t>
      </w:r>
    </w:p>
    <w:p>
      <w:pPr>
        <w:spacing w:after="120"/>
      </w:pPr>
      <w:r>
        <w:t xml:space="preserve">Dosya: </w:t>
      </w:r>
      <w:r>
        <w:rPr>
          <w:rFonts w:ascii="Consolas" w:cs="Consolas" w:eastAsia="Consolas" w:hAnsi="Consolas"/>
          <w:sz w:val="20"/>
          <w:szCs w:val="20"/>
        </w:rPr>
        <w:t xml:space="preserve">scripts/independent_scorer.py</w:t>
      </w:r>
      <w:r>
        <w:t xml:space="preserve"> (A3.9a). Üç kanalı ham JSONL + kanıt sözlüğünden, üründen ve harness’ten hiçbir yardımcı import etmeden yeniden hesaplar (tolerans 0.005 dahil her kural bağımsızca yeniden yazılmıştır). Loglardaki satır-içi skorlarla uyuşmazlık sayısını raporlar: makalede “skorlayıcı mutabakatı” istatistiği budur. Makale tabloları yalnızca bu skorlayıcıdan üretilir.</w:t>
      </w:r>
    </w:p>
    <w:p>
      <w:pPr>
        <w:spacing w:after="120"/>
      </w:pPr>
      <w:r>
        <w:t xml:space="preserve">Dosya: </w:t>
      </w:r>
      <w:r>
        <w:rPr>
          <w:rFonts w:ascii="Consolas" w:cs="Consolas" w:eastAsia="Consolas" w:hAnsi="Consolas"/>
          <w:sz w:val="20"/>
          <w:szCs w:val="20"/>
        </w:rPr>
        <w:t xml:space="preserve">scripts/make_tables.py</w:t>
      </w:r>
      <w:r>
        <w:t xml:space="preserve"> (R8). runs/ dizinini tarar, her (görev, sağlayıcı, model) grubu için Markdown (istenirse LaTeX booktabs) tablo üretir; her tablo git commit + dirty bayrağı taşır. Kural: tablolardaki hiçbir sayı elle yazılamaz.</w:t>
      </w:r>
    </w:p>
    <w:p>
      <w:pPr>
        <w:pStyle w:val="Heading2"/>
      </w:pPr>
      <w:r>
        <w:t xml:space="preserve">4.6 Sağlayıcı matrisi ve enforcement sınıfları</w:t>
      </w:r>
    </w:p>
    <w:p>
      <w:pPr>
        <w:spacing w:after="120"/>
      </w:pPr>
      <w:r>
        <w:t xml:space="preserve">Harness dokuz sağlayıcıyı tek arayüz üzerinden destekler: anthropic, openai, deepseek, gemini, mistral, xai, qwen, groq, vllm. API anahtarları yalnızca ortam değişkenlerinden okunur; kaynak koda, komut geçmişine ve konuşma kanallarına anahtar yazılmaz. DeepSeek varsayılan modeli deepseek-v4-flash olarak pinlidir: deepseek-chat takma adı 24 Temmuz 2026’da servis dışı kalacağından, replikasyon komutlarının bu tarihten sonra da birebir çalışması ancak doğrudan model adıyla mümkündür.</w:t>
      </w:r>
    </w:p>
    <w:p>
      <w:pPr>
        <w:spacing w:after="120"/>
      </w:pPr>
      <w:r>
        <w:t xml:space="preserve">7 Temmuz 2026’da web üzerinden doğrulanan şema-uygulama manzarası (R11’in temeli):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926"/>
      </w:tblGrid>
      <w:tr>
        <w:trPr>
          <w:tblHeader/>
        </w:trPr>
        <w:tc>
          <w:tcPr>
            <w:tcW w:type="dxa" w:w="15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Sınıf</w:t>
            </w:r>
          </w:p>
        </w:tc>
        <w:tc>
          <w:tcPr>
            <w:tcW w:type="dxa" w:w="36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Davranış</w:t>
            </w:r>
          </w:p>
        </w:tc>
        <w:tc>
          <w:tcPr>
            <w:tcW w:type="dxa" w:w="3926"/>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Örnekler (7 Tem 2026 itibarıyla)</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E-sınıfı</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Daima strict: şema decode sırasında zorlanır</w:t>
            </w:r>
          </w:p>
        </w:tc>
        <w:tc>
          <w:tcPr>
            <w:tcW w:type="dxa" w:w="3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xAI</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O-sınıfı</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Opt-in strict: bayrak açılırsa zorlar</w:t>
            </w:r>
          </w:p>
        </w:tc>
        <w:tc>
          <w:tcPr>
            <w:tcW w:type="dxa" w:w="3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OpenAI, Anthropic, DeepSeek (beta), vLLM</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H-sınıfı</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Hint-only: şema yalnızca yönlendirici ipucu</w:t>
            </w:r>
          </w:p>
        </w:tc>
        <w:tc>
          <w:tcPr>
            <w:tcW w:type="dxa" w:w="3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Gemini (varsayılan araç modu), Mistral (tools), Qwen</w:t>
            </w:r>
          </w:p>
        </w:tc>
      </w:tr>
    </w:tbl>
    <w:p>
      <w:pPr>
        <w:spacing w:after="120"/>
      </w:pPr>
      <w:r>
        <w:t xml:space="preserve"/>
      </w:r>
    </w:p>
    <w:p>
      <w:pPr>
        <w:spacing w:after="120"/>
      </w:pPr>
      <w:r>
        <w:rPr>
          <w:b/>
          <w:bCs/>
        </w:rPr>
        <w:t xml:space="preserve">R11 tezi (panel-düzeltmeli): </w:t>
      </w:r>
      <w:r>
        <w:t xml:space="preserve">ifade edilebilirlik ile zorlanabilirlik aynı şey değildir. Tam JSON Schema, değer pencerelerini (oneOf/const) ve çapa kapsamını (contains) İFADE EDEBİLİR; ancak sağlayıcıların fiilen zorladığı strict alt-kümeler bunları decode sırasında zorlayamaz ve koşullu tamlık (“hükme varıyorsan çapayı anmalısın”) hiçbir belgeli strict alt-kümede yoktur. Tier B’nin varlık nedeni budur.</w:t>
      </w:r>
    </w:p>
    <w:p>
      <w:pPr>
        <w:pStyle w:val="Heading1"/>
      </w:pPr>
      <w:r>
        <w:t xml:space="preserve">5. FabBench: Sızıntı-Anlatım Benchmark’ı</w:t>
      </w:r>
    </w:p>
    <w:p>
      <w:pPr>
        <w:spacing w:after="120"/>
      </w:pPr>
      <w:r>
        <w:t xml:space="preserve">Dosyalar: </w:t>
      </w:r>
      <w:r>
        <w:rPr>
          <w:rFonts w:ascii="Consolas" w:cs="Consolas" w:eastAsia="Consolas" w:hAnsi="Consolas"/>
          <w:sz w:val="20"/>
          <w:szCs w:val="20"/>
        </w:rPr>
        <w:t xml:space="preserve">scripts/fabbench_injectors.py</w:t>
      </w:r>
      <w:r>
        <w:t xml:space="preserve"> (desenler) ve </w:t>
      </w:r>
      <w:r>
        <w:rPr>
          <w:rFonts w:ascii="Consolas" w:cs="Consolas" w:eastAsia="Consolas" w:hAnsi="Consolas"/>
          <w:sz w:val="20"/>
          <w:szCs w:val="20"/>
        </w:rPr>
        <w:t xml:space="preserve">scripts/fetch_fabbench_datasets.py</w:t>
      </w:r>
      <w:r>
        <w:t xml:space="preserve"> (indirme + doğrulama). İsim notu: arXiv 2512.23487 “ML Compass” (Digalakis vd.) farklı bir çalışmadır; benchmark adı FabBench ile ayrışıyoruz.</w:t>
      </w:r>
    </w:p>
    <w:p>
      <w:pPr>
        <w:pStyle w:val="Heading2"/>
      </w:pPr>
      <w:r>
        <w:t xml:space="preserve">5.1 Sızıntı enjektörleri (6 desen)</w:t>
      </w:r>
    </w:p>
    <w:p>
      <w:pPr>
        <w:spacing w:after="120"/>
      </w:pPr>
      <w:r>
        <w:t xml:space="preserve">Her enjektör, gerçek bir tahmin çerçevesine tek bir kontrollü sızıntı deseni ekler ve (contamination hariç) eklediği sütunun adını (çapa) döndürür; kanıt her durumda ürünün kendi dedektöründen üretilir. Altı desen, altı ayrık sızıntı mekanizmasını kapsayacak şekilde seçilmiştir; aynı mekanizmanın altı parametrizasyonu değildir: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600"/>
        <w:gridCol w:w="2326"/>
      </w:tblGrid>
      <w:tr>
        <w:trPr>
          <w:tblHeader/>
        </w:trPr>
        <w:tc>
          <w:tcPr>
            <w:tcW w:type="dxa" w:w="21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Enjektör</w:t>
            </w:r>
          </w:p>
        </w:tc>
        <w:tc>
          <w:tcPr>
            <w:tcW w:type="dxa" w:w="46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Mekanizma</w:t>
            </w:r>
          </w:p>
        </w:tc>
        <w:tc>
          <w:tcPr>
            <w:tcW w:type="dxa" w:w="2326"/>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Çapa adı</w:t>
            </w:r>
          </w:p>
        </w:tc>
      </w:tr>
      <w:tr>
        <w:trPr>
          <w:tblHeader w:val="false"/>
        </w:trP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exact_copy</w:t>
            </w:r>
            <w:r>
              <w:rPr>
                <w:b w:val="false"/>
                <w:bCs w:val="false"/>
                <w:sz w:val="19"/>
                <w:szCs w:val="19"/>
              </w:rPr>
            </w:r>
          </w:p>
        </w:tc>
        <w:tc>
          <w:tcPr>
            <w:tcW w:type="dxa" w:w="4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Öznitelik hedefin birebir kopyası (Pearson 1.0); önemsiz taban</w:t>
            </w:r>
          </w:p>
        </w:tc>
        <w:tc>
          <w:tcPr>
            <w:tcW w:type="dxa" w:w="2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{hedef}_adj</w:t>
            </w:r>
            <w:r>
              <w:rPr>
                <w:b w:val="false"/>
                <w:bCs w:val="false"/>
                <w:sz w:val="19"/>
                <w:szCs w:val="19"/>
              </w:rPr>
            </w:r>
          </w:p>
        </w:tc>
      </w:tr>
      <w:tr>
        <w:trPr>
          <w:tblHeader w:val="false"/>
        </w:trP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noisy_proxy</w:t>
            </w:r>
            <w:r>
              <w:rPr>
                <w:b w:val="false"/>
                <w:bCs w:val="false"/>
                <w:sz w:val="19"/>
                <w:szCs w:val="19"/>
              </w:rPr>
            </w:r>
          </w:p>
        </w:tc>
        <w:tc>
          <w:tcPr>
            <w:tcW w:type="dxa" w:w="4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Hedef + küçük gürültü (rho ~0.995); doğrusal yakın-kopya</w:t>
            </w:r>
          </w:p>
        </w:tc>
        <w:tc>
          <w:tcPr>
            <w:tcW w:type="dxa" w:w="2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{hedef}_est</w:t>
            </w:r>
            <w:r>
              <w:rPr>
                <w:b w:val="false"/>
                <w:bCs w:val="false"/>
                <w:sz w:val="19"/>
                <w:szCs w:val="19"/>
              </w:rPr>
            </w:r>
          </w:p>
        </w:tc>
      </w:tr>
      <w:tr>
        <w:trPr>
          <w:tblHeader w:val="false"/>
        </w:trP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monotone_log</w:t>
            </w:r>
            <w:r>
              <w:rPr>
                <w:b w:val="false"/>
                <w:bCs w:val="false"/>
                <w:sz w:val="19"/>
                <w:szCs w:val="19"/>
              </w:rPr>
            </w:r>
          </w:p>
        </w:tc>
        <w:tc>
          <w:tcPr>
            <w:tcW w:type="dxa" w:w="4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log(hedef) (Pearson ~0.94, Spearman 1.0); artan doğrusal-olmayan, Haziran görevi</w:t>
            </w:r>
          </w:p>
        </w:tc>
        <w:tc>
          <w:tcPr>
            <w:tcW w:type="dxa" w:w="2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{hedef}_idx</w:t>
            </w:r>
            <w:r>
              <w:rPr>
                <w:b w:val="false"/>
                <w:bCs w:val="false"/>
                <w:sz w:val="19"/>
                <w:szCs w:val="19"/>
              </w:rPr>
            </w:r>
          </w:p>
        </w:tc>
      </w:tr>
      <w:tr>
        <w:trPr>
          <w:tblHeader w:val="false"/>
        </w:trP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inverse_target</w:t>
            </w:r>
            <w:r>
              <w:rPr>
                <w:b w:val="false"/>
                <w:bCs w:val="false"/>
                <w:sz w:val="19"/>
                <w:szCs w:val="19"/>
              </w:rPr>
            </w:r>
          </w:p>
        </w:tc>
        <w:tc>
          <w:tcPr>
            <w:tcW w:type="dxa" w:w="4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1/(hedef+c); azalan monoton, negatif korelasyon yolunu test eder</w:t>
            </w:r>
          </w:p>
        </w:tc>
        <w:tc>
          <w:tcPr>
            <w:tcW w:type="dxa" w:w="2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{hedef}_norm</w:t>
            </w:r>
            <w:r>
              <w:rPr>
                <w:b w:val="false"/>
                <w:bCs w:val="false"/>
                <w:sz w:val="19"/>
                <w:szCs w:val="19"/>
              </w:rPr>
            </w:r>
          </w:p>
        </w:tc>
      </w:tr>
      <w:tr>
        <w:trPr>
          <w:tblHeader w:val="false"/>
        </w:trP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binned_target</w:t>
            </w:r>
            <w:r>
              <w:rPr>
                <w:b w:val="false"/>
                <w:bCs w:val="false"/>
                <w:sz w:val="19"/>
                <w:szCs w:val="19"/>
              </w:rPr>
            </w:r>
          </w:p>
        </w:tc>
        <w:tc>
          <w:tcPr>
            <w:tcW w:type="dxa" w:w="4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Hedefin kantil-kutu ortalamaları; klasik CV hedef-kodlama sızıntısı</w:t>
            </w:r>
          </w:p>
        </w:tc>
        <w:tc>
          <w:tcPr>
            <w:tcW w:type="dxa" w:w="2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{hedef}_grp</w:t>
            </w:r>
            <w:r>
              <w:rPr>
                <w:b w:val="false"/>
                <w:bCs w:val="false"/>
                <w:sz w:val="19"/>
                <w:szCs w:val="19"/>
              </w:rPr>
            </w:r>
          </w:p>
        </w:tc>
      </w:tr>
      <w:tr>
        <w:trPr>
          <w:tblHeader w:val="false"/>
        </w:trP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contamination</w:t>
            </w:r>
            <w:r>
              <w:rPr>
                <w:b w:val="false"/>
                <w:bCs w:val="false"/>
                <w:sz w:val="19"/>
                <w:szCs w:val="19"/>
              </w:rPr>
            </w:r>
          </w:p>
        </w:tc>
        <w:tc>
          <w:tcPr>
            <w:tcW w:type="dxa" w:w="4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Sütun yok: y_pred, satırların ~%97’sinde y_true’ya eşit (ezber); perfect-match kanalı, çapasız kanıt şekli</w:t>
            </w:r>
          </w:p>
        </w:tc>
        <w:tc>
          <w:tcPr>
            <w:tcW w:type="dxa" w:w="2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yok</w:t>
            </w:r>
          </w:p>
        </w:tc>
      </w:tr>
    </w:tbl>
    <w:p>
      <w:pPr>
        <w:spacing w:after="120"/>
      </w:pPr>
      <w:r>
        <w:t xml:space="preserve"/>
      </w:r>
    </w:p>
    <w:p>
      <w:pPr>
        <w:spacing w:after="120"/>
      </w:pPr>
      <w:r>
        <w:rPr>
          <w:b/>
          <w:bCs/>
        </w:rPr>
        <w:t xml:space="preserve">Adlandırma düzeltmesi (A3.10): </w:t>
      </w:r>
      <w:r>
        <w:t xml:space="preserve">Haziran koşularında enjekte sütunlar *_leak son ekiyle adlandırılmıştı; bu adlandırma, doğru cevabı sözcüksel düzeyde kodlayan bir belirginlik (salience) karıştırıcısıdır ve ölçülen oranı sistematik biçimde etkileyebilir. Kampanya öncesinde tüm çapa adları veri-kümesine-makul nötr adlara taşınmıştır (yukarıdaki tablo); tarihsel adlandırma makalede Threats to Validity altında raporlanacaktır. Ayrıca veri-kümesi aşinalığı karıştırıcısını doğrudan ölçmek için bir takma-adlandırma kolu tanımlıdır: --pseudonymize, tüm sütun adlarını içerik-hash’leriyle (col_&lt;sha256[:8]&gt;) değiştirir.</w:t>
      </w:r>
    </w:p>
    <w:p>
      <w:pPr>
        <w:pStyle w:val="Heading2"/>
      </w:pPr>
      <w:r>
        <w:t xml:space="preserve">5.2 Veri kümeleri ve hash pinleme</w:t>
      </w:r>
    </w:p>
    <w:p>
      <w:pPr>
        <w:spacing w:after="120"/>
      </w:pPr>
      <w:r>
        <w:t xml:space="preserve">Çekirdek 4 veri kümesi: insurance, heart, telco, ames. Genişletilmiş korpus ek kümeler içerir (artefakt genişliği; ön-kayıtlı çekirdeğin parçası değil). Her indirme SHA256 ile pinlidir ve uyuşmazlıkta indirme BAŞARISIZ olur (fail-closed); --skip-hash-check yalnızca bilinçli tazeleme içindir ve yeni hash’in yeniden pinlenmesini gerektirir.</w:t>
      </w:r>
    </w:p>
    <w:p>
      <w:pPr>
        <w:pStyle w:val="Heading2"/>
      </w:pPr>
      <w:r>
        <w:t xml:space="preserve">5.3 Donmuş makale örnekleri (frozen instances)</w:t>
      </w:r>
    </w:p>
    <w:p>
      <w:pPr>
        <w:spacing w:after="120"/>
      </w:pPr>
      <w:r>
        <w:t xml:space="preserve">Ön-kayıt A1: 12 gerçek-veri örneği (her enjektör tam 2 veri kümesinde) + Haziran sentetik görevi (#13). A3.4 ile #14 eklendi:</w:t>
      </w:r>
    </w:p>
    <w:p>
      <w:pPr>
        <w:spacing w:after="120"/>
      </w:pPr>
      <w:r>
        <w:t xml:space="default"/>
      </w:r>
      <w:r>
        <w:rPr>
          <w:b/>
          <w:bCs/>
        </w:rPr>
        <w:t xml:space="preserve"> (#14, değer-kanalı stresörü): </w:t>
      </w:r>
      <w:r>
        <w:t xml:space="preserve">n=1200, seed 0; çapa sensor_ref 0.995 korelasyonla tek aday; dokuz kalabalık öznitelik sensor_00..sensor_08, 0.003 adımlı 0.900-0.924 grid’i üzerindedir. Örneklem Pearson korelasyonları bu grid değerlerine tam eşittir; eşitlik stokastik yakınsama değil, yapısal sonuçtur: hedef örneklem-içi standartlaştırılır, her gürültü vektörü hedefe örneklem-içi Gram-Schmidt ile dikleştirilir ve öznitelik x = r·z + sqrt(1-r²)·u karışımı olarak kurulur (bu inşada corr(x, y) = r, kayan-nokta hassasiyetinde). 0.003 aralıklı komşu değerler, serbest metinden sayı aktaran anlatıcı için sütun-değer karıştırma olasılığını maksimize eder; varlık kanalının değer uzayı ise değişmez, dolayısıyla iki kanal ayrışık ölçülür. fetch --verify, grid üyeliğini ve aralıkları 1e-6 toleransla doğrular.</w:t>
      </w:r>
    </w:p>
    <w:p>
      <w:pPr>
        <w:pStyle w:val="Heading2"/>
      </w:pPr>
      <w:r>
        <w:t xml:space="preserve">5.4 Gerçek-dünya vaka çalışmaları (A2)</w:t>
      </w:r>
    </w:p>
    <w:p>
      <w:pPr>
        <w:pStyle w:val="ListParagraph"/>
        <w:numPr>
          <w:ilvl w:val="0"/>
          <w:numId w:val="2"/>
        </w:numPr>
        <w:spacing w:after="60"/>
      </w:pPr>
      <w:r>
        <w:t xml:space="default"/>
      </w:r>
      <w:r>
        <w:rPr>
          <w:b/>
          <w:bCs/>
        </w:rPr>
        <w:t xml:space="preserve"> (gerçek, belgeli sızıntı): </w:t>
      </w:r>
      <w:r>
        <w:t xml:space="preserve">vücut yoğunluğu (Density) sütunu hedefin deterministik ters fonksiyonudur; enjeksiyonsuz, doğal çapa. y_pred, tüm sayısal özniteliklerde en küçük kareler modelinden üretilir (r² = 0.978, ÖLÇÜLÜR; elle Siri formülü kodlamak A3.11 ile kaldırıldı).</w:t>
      </w:r>
    </w:p>
    <w:p>
      <w:pPr>
        <w:pStyle w:val="ListParagraph"/>
        <w:numPr>
          <w:ilvl w:val="0"/>
          <w:numId w:val="2"/>
        </w:numPr>
        <w:spacing w:after="60"/>
      </w:pPr>
      <w:r>
        <w:t xml:space="default"/>
      </w:r>
      <w:r>
        <w:rPr>
          <w:b/>
          <w:bCs/>
        </w:rPr>
        <w:t xml:space="preserve"> (negatif kontrol): </w:t>
      </w:r>
      <w:r>
        <w:t xml:space="preserve">sızıntısız kanıt; aday sütun yok, perfect-match düşük. Birincil çıktı: masum kanıtta hükme varma oranı (yanlış-pozitif taahhüt). Kontratın 4. kuralı burada çekimserlik önerir.</w:t>
      </w:r>
    </w:p>
    <w:p>
      <w:pPr>
        <w:spacing w:after="120"/>
      </w:pPr>
      <w:r>
        <w:t xml:space="preserve">Her iki vaka, fetch --verify-cases ile ön-beyanlı beklentilere karşı doğrulanır ve beklentiler kabul kriteridir: bodyfat’in Density üzerinde tetiklenmesi, sambanis’in aday üretmemesi gerekir; aksi durum doğrulama hatası olarak raporlanır.</w:t>
      </w:r>
    </w:p>
    <w:p>
      <w:pPr>
        <w:pStyle w:val="Heading1"/>
      </w:pPr>
      <w:r>
        <w:t xml:space="preserve">6. Haziran 2026 Ölçümleri (INISTA Dönemi)</w:t>
      </w:r>
    </w:p>
    <w:p>
      <w:pPr>
        <w:spacing w:after="120"/>
      </w:pPr>
      <w:r>
        <w:t xml:space="preserve">Kurulum: deepseek-chat uç noktası; ham kayıtlar paper/ablation_live_*.md dosyalarında. N hücre parametresidir ve her kaydın başlığında bellidir (bkz. 1.5): battery hücreleri (aşağıdaki tablo) kol başına N = 200 ile, parafraz sweep’i ise varyant başına N = 100 ile koşuldu. İki görev: sentetik çerçeve (monotone_log deseni) ve gerçek-veri Insurance görevi.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100"/>
        <w:gridCol w:w="1900"/>
        <w:gridCol w:w="1926"/>
      </w:tblGrid>
      <w:tr>
        <w:trPr>
          <w:tblHeader/>
        </w:trPr>
        <w:tc>
          <w:tcPr>
            <w:tcW w:type="dxa" w:w="31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Hücre</w:t>
            </w:r>
          </w:p>
        </w:tc>
        <w:tc>
          <w:tcPr>
            <w:tcW w:type="dxa" w:w="21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Varlık k/N (oran)</w:t>
            </w:r>
          </w:p>
        </w:tc>
        <w:tc>
          <w:tcPr>
            <w:tcW w:type="dxa" w:w="19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Değer k/N</w:t>
            </w:r>
          </w:p>
        </w:tc>
        <w:tc>
          <w:tcPr>
            <w:tcW w:type="dxa" w:w="1926"/>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Omisyon k/N</w:t>
            </w:r>
          </w:p>
        </w:tc>
      </w:tr>
      <w:tr>
        <w:trPr>
          <w:tblHeader w:val="false"/>
        </w:trP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Sentetik, L1 (çıplak), 11 Haz</w:t>
            </w:r>
          </w:p>
        </w:tc>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30 / 200 (%15.0)</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0 / 200</w:t>
            </w:r>
          </w:p>
        </w:tc>
        <w:tc>
          <w:tcPr>
            <w:tcW w:type="dxa" w:w="1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0 / 200</w:t>
            </w:r>
          </w:p>
        </w:tc>
      </w:tr>
      <w:tr>
        <w:trPr>
          <w:tblHeader w:val="false"/>
        </w:trP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Sentetik, L1 (çıplak), 12 Haz</w:t>
            </w:r>
          </w:p>
        </w:tc>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23 / 200 (%11.5)</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0 / 200</w:t>
            </w:r>
          </w:p>
        </w:tc>
        <w:tc>
          <w:tcPr>
            <w:tcW w:type="dxa" w:w="1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0 / 200</w:t>
            </w:r>
          </w:p>
        </w:tc>
      </w:tr>
      <w:tr>
        <w:trPr>
          <w:tblHeader w:val="false"/>
        </w:trP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Sentetik, L3 (tam kontrat)</w:t>
            </w:r>
          </w:p>
        </w:tc>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0 / 200 (%0.0)</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0 / 200</w:t>
            </w:r>
          </w:p>
        </w:tc>
        <w:tc>
          <w:tcPr>
            <w:tcW w:type="dxa" w:w="1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0 / 200</w:t>
            </w:r>
          </w:p>
        </w:tc>
      </w:tr>
      <w:tr>
        <w:trPr>
          <w:tblHeader w:val="false"/>
        </w:trP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Insurance (gerçek veri), L1</w:t>
            </w:r>
          </w:p>
        </w:tc>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87 / 200 (%43.5)</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0 / 200</w:t>
            </w:r>
          </w:p>
        </w:tc>
        <w:tc>
          <w:tcPr>
            <w:tcW w:type="dxa" w:w="1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0 / 200</w:t>
            </w:r>
          </w:p>
        </w:tc>
      </w:tr>
      <w:tr>
        <w:trPr>
          <w:tblHeader w:val="false"/>
        </w:trP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Insurance, L3 (tam kontrat)</w:t>
            </w:r>
          </w:p>
        </w:tc>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0 / 200 (%0.0)</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0 / 200</w:t>
            </w:r>
          </w:p>
        </w:tc>
        <w:tc>
          <w:tcPr>
            <w:tcW w:type="dxa" w:w="1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0 / 200</w:t>
            </w:r>
          </w:p>
        </w:tc>
      </w:tr>
    </w:tbl>
    <w:p>
      <w:pPr>
        <w:spacing w:after="120"/>
      </w:pPr>
      <w:r>
        <w:rPr>
          <w:b/>
          <w:bCs/>
        </w:rPr>
        <w:t xml:space="preserve">Tablo okuma: </w:t>
      </w:r>
      <w:r>
        <w:t xml:space="preserve">k / N = hücredeki 200 bağımsız yanıtın k tanesinde ilgili kanalda en az bir ihlal var. Örnek: 30 / 200, “200 yanıtın 30’unda kanıt dışı sütun atfı gözlendi” demektir (%15.0). 0 / 200 satırları sıfır GÖZLEM bildirir, kesin sıfır değil: Wilson %95 üst sınırı %1.88’dir (bkz. 1.5). L1 hücrelerinde değer ve omisyon kanallarının 0 / 200 çıkması, o görev şeklinin bu kanalları yeterince stres etmemesindendir; kanal-aktivasyon tahminleri ve #14 stresörü tam bu boşluk için ön-kayda alındı (A3.3, A3.4).</w:t>
      </w:r>
    </w:p>
    <w:p>
      <w:pPr>
        <w:pStyle w:val="ListParagraph"/>
        <w:numPr>
          <w:ilvl w:val="0"/>
          <w:numId w:val="2"/>
        </w:numPr>
        <w:spacing w:after="60"/>
      </w:pPr>
      <w:r>
        <w:rPr>
          <w:b/>
          <w:bCs/>
        </w:rPr>
        <w:t xml:space="preserve">STRESS kolu (gerçek veri): </w:t>
      </w:r>
      <w:r>
        <w:t xml:space="preserve">çıplak prompt + enum kapalı + yalnız Tier B: 76 yakalama, kullanıcıya ulaşan ihlal 0; adlandırılmış düzeltme sonrası koşullu tekrar oranı %37.5’ten %1.3’e düştü (H5’in çekirdek gözlemi; jenerik kontrol kolu Q1’de eklendi).</w:t>
      </w:r>
    </w:p>
    <w:p>
      <w:pPr>
        <w:pStyle w:val="ListParagraph"/>
        <w:numPr>
          <w:ilvl w:val="0"/>
          <w:numId w:val="2"/>
        </w:numPr>
        <w:spacing w:after="60"/>
      </w:pPr>
      <w:r>
        <w:rPr>
          <w:b/>
          <w:bCs/>
        </w:rPr>
        <w:t xml:space="preserve">Parafraz sweep (varyant başına N = 100): </w:t>
      </w:r>
      <w:r>
        <w:t xml:space="preserve">6 kural-içermeyen parafraz arasında entity-fab 1 / 100 (%1) ile 100 / 100 (%100) arasında; aynı model, aynı kanıt, aynı şema. Q1 replikasyonunda sweep sağlayıcıları ve N’ler ön-kayıtta sabitlendi.</w:t>
      </w:r>
    </w:p>
    <w:p>
      <w:pPr>
        <w:pStyle w:val="ListParagraph"/>
        <w:numPr>
          <w:ilvl w:val="0"/>
          <w:numId w:val="2"/>
        </w:numPr>
        <w:spacing w:after="60"/>
      </w:pPr>
      <w:r>
        <w:rPr>
          <w:b/>
          <w:bCs/>
        </w:rPr>
        <w:t xml:space="preserve">tier_a izole: </w:t>
      </w:r>
      <w:r>
        <w:t xml:space="preserve">yalnız enum (doğrulama kapalı) varlık ihlalini 23 / 200’den (%11.5) 0 / 200’e indirdi (bu uç noktada): enum tek başına güçlü bir yönlendiricidir, ancak decode-zamanı zorlama sağlayıcıya bağlı olduğu için garanti değildir; garanti Tier B’dedir.</w:t>
      </w:r>
    </w:p>
    <w:p>
      <w:pPr>
        <w:pStyle w:val="ListParagraph"/>
        <w:numPr>
          <w:ilvl w:val="0"/>
          <w:numId w:val="2"/>
        </w:numPr>
        <w:spacing w:after="60"/>
      </w:pPr>
      <w:r>
        <w:rPr>
          <w:b/>
          <w:bCs/>
        </w:rPr>
        <w:t xml:space="preserve">stress_mech: </w:t>
      </w:r>
      <w:r>
        <w:t xml:space="preserve">en kötü parafraz altında tam kontrat: 0 ihlal (“kontrat yalnız zayıf konfigde çalışıyor” itirazının cevabı).</w:t>
      </w:r>
    </w:p>
    <w:p>
      <w:pPr>
        <w:spacing w:after="120"/>
      </w:pPr>
      <w:r>
        <w:rPr>
          <w:b/>
          <w:bCs/>
        </w:rPr>
        <w:t xml:space="preserve">Önemli ölçüm notu (A3.1): </w:t>
      </w:r>
      <w:r>
        <w:t xml:space="preserve">L3 hücrelerindeki varlık/değer sıfırları analitiktir: strip semantiği gereği yapısal olarak sıfırdır; model davranışının değil doğrulayıcı doğruluğunun kanıtıdır (test paketi + bağımsız skorlayıcı ile desteklenir). Ampirik olarak anlamlı karşılaştırma, L1 ile STRESS’in ilk-deneme yakalama oranlarıdır. Q1 tablolarında analitik hücreler ayrıca etiketlenecektir. Ayrıca her iki Haziran L1 sentetik ölçümü (%15.0 ve %11.5) makalede birlikte raporlanacaktır (A3.12); eski, doğrulanamayan bir ölçüm seti (8.0/1.0/0.0) silinmiştir ve hiçbir raporda kullanılmaz.</w:t>
      </w:r>
    </w:p>
    <w:p>
      <w:pPr>
        <w:pStyle w:val="Heading1"/>
      </w:pPr>
      <w:r>
        <w:t xml:space="preserve">7. Bilimsel Süreç ve Q1 Kampanyası</w:t>
      </w:r>
    </w:p>
    <w:p>
      <w:pPr>
        <w:pStyle w:val="Heading2"/>
      </w:pPr>
      <w:r>
        <w:t xml:space="preserve">7.1 Zaman çizelgesi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Tarih</w:t>
            </w:r>
          </w:p>
        </w:tc>
        <w:tc>
          <w:tcPr>
            <w:tcW w:type="dxa" w:w="6926"/>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Olay</w:t>
            </w:r>
          </w:p>
        </w:tc>
      </w:tr>
      <w:tr>
        <w:trPr>
          <w:tblHeader w:val="false"/>
        </w:trP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Şub-Haz 2026</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Ürün gelişimi: FAZ 1-10, v0.1.0’dan v0.9.0’a (PyPI + MCP + ajan + slash komutları)</w:t>
            </w:r>
          </w:p>
        </w:tc>
      </w:tr>
      <w:tr>
        <w:trPr>
          <w:tblHeader w:val="false"/>
        </w:trP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11-12 Haz 2026</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INISTA 6 sayfalık taslak + tüm canlı ölçümler + Prop 1-2 ispatları + 19 doğrulanmış referans</w:t>
            </w:r>
          </w:p>
        </w:tc>
      </w:tr>
      <w:tr>
        <w:trPr>
          <w:tblHeader w:val="false"/>
        </w:trP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12-13 Haz 2026</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5 kişilik iç hakem paneli 2 tur: 3 Accept + 2 Weak Accept; must-fix’ler işlendi; metin insan-eli geçişi</w:t>
            </w:r>
          </w:p>
        </w:tc>
      </w:tr>
      <w:tr>
        <w:trPr>
          <w:tblHeader w:val="false"/>
        </w:trP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13-14 Haz 2026</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Dış hakem görüşleri (reject + weak-accept): ortak nokta “yeni deney gerekir”; 14 Haz danışman kararı: şimdi göndermeyelim, güçlendirip daha üst hedefe</w:t>
            </w:r>
          </w:p>
        </w:tc>
      </w:tr>
      <w:tr>
        <w:trPr>
          <w:tblHeader w:val="false"/>
        </w:trP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6 Tem 2026</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Q1 kampanya kararı: hedef ESWA (yedek KBS, JSS, IEEE Access); Q1_ROADMAP.md yazıldı; tek yazar kararı</w:t>
            </w:r>
          </w:p>
        </w:tc>
      </w:tr>
      <w:tr>
        <w:trPr>
          <w:tblHeader w:val="false"/>
        </w:trP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7 Tem 2026</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Faz 0 kapandı: telemetri, ön-kayıt (A1/A2/A3), veri kümeleri + hash’ler, 53 doğrulanmış referans havuzu, 3-hakem ön-kampanya paneli, 3 dalgalık panel-onarım kodu, Opus devri playbook’u</w:t>
            </w:r>
          </w:p>
        </w:tc>
      </w:tr>
    </w:tbl>
    <w:p>
      <w:pPr>
        <w:spacing w:after="120"/>
      </w:pPr>
      <w:r>
        <w:t xml:space="preserve"/>
      </w:r>
    </w:p>
    <w:p>
      <w:pPr>
        <w:pStyle w:val="Heading2"/>
      </w:pPr>
      <w:r>
        <w:t xml:space="preserve">7.2 Q1 Definition-of-Done (R1-R11)</w:t>
      </w:r>
    </w:p>
    <w:p>
      <w:pPr>
        <w:spacing w:after="120"/>
      </w:pPr>
      <w:r>
        <w:t xml:space="preserve">Otorite kaynak: paper/Q1_ROADMAP.md. Kısa özet: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No</w:t>
            </w:r>
          </w:p>
        </w:tc>
        <w:tc>
          <w:tcPr>
            <w:tcW w:type="dxa" w:w="7826"/>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Gereksinim</w:t>
            </w:r>
          </w:p>
        </w:tc>
      </w:tr>
      <w:tr>
        <w:trPr>
          <w:tblHeader w:val="false"/>
        </w:trP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R1</w:t>
            </w:r>
          </w:p>
        </w:tc>
        <w:tc>
          <w:tcPr>
            <w:tcW w:type="dxa" w:w="78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Katmanlı sağlayıcı paneli deney matrisi (maliyet kısıt değil; anahtar erişimine göre P0/P1 katmanları)</w:t>
            </w:r>
          </w:p>
        </w:tc>
      </w:tr>
      <w:tr>
        <w:trPr>
          <w:tblHeader w:val="false"/>
        </w:trP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R2</w:t>
            </w:r>
          </w:p>
        </w:tc>
        <w:tc>
          <w:tcPr>
            <w:tcW w:type="dxa" w:w="78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Kanal aktivasyonu: değer ve omisyon kanallarının en az bir görevde fiilen ateşlendiğinin gösterilmesi (A3.3-A3.4 tahminleri; ateşlenmezse sınır-bulgu olarak raporlanır ve R2 düşürülür)</w:t>
            </w:r>
          </w:p>
        </w:tc>
      </w:tr>
      <w:tr>
        <w:trPr>
          <w:tblHeader w:val="false"/>
        </w:trP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R3</w:t>
            </w:r>
          </w:p>
        </w:tc>
        <w:tc>
          <w:tcPr>
            <w:tcW w:type="dxa" w:w="78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Guardrails AI + NeMo Guardrails baseline’ları aynı görev ve metriklerle; açık-model kolunda Outlines/Guidance</w:t>
            </w:r>
          </w:p>
        </w:tc>
      </w:tr>
      <w:tr>
        <w:trPr>
          <w:tblHeader w:val="false"/>
        </w:trP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R4</w:t>
            </w:r>
          </w:p>
        </w:tc>
        <w:tc>
          <w:tcPr>
            <w:tcW w:type="dxa" w:w="78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Enforcement dikotomisi: decode-enforced ve hint-only modlar ayrı hücreler (strict bayraklı kollar)</w:t>
            </w:r>
          </w:p>
        </w:tc>
      </w:tr>
      <w:tr>
        <w:trPr>
          <w:tblHeader w:val="false"/>
        </w:trP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R5</w:t>
            </w:r>
          </w:p>
        </w:tc>
        <w:tc>
          <w:tcPr>
            <w:tcW w:type="dxa" w:w="78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6-parafraz sweep en az 2 sağlayıcıda replike</w:t>
            </w:r>
          </w:p>
        </w:tc>
      </w:tr>
      <w:tr>
        <w:trPr>
          <w:tblHeader w:val="false"/>
        </w:trP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R6</w:t>
            </w:r>
          </w:p>
        </w:tc>
        <w:tc>
          <w:tcPr>
            <w:tcW w:type="dxa" w:w="78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Telemetri: ihlal kompozisyonu, claim sayısı, abstention, retry dinamiği, gecikme; tümü JSONL’de</w:t>
            </w:r>
          </w:p>
        </w:tc>
      </w:tr>
      <w:tr>
        <w:trPr>
          <w:tblHeader w:val="false"/>
        </w:trP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R7</w:t>
            </w:r>
          </w:p>
        </w:tc>
        <w:tc>
          <w:tcPr>
            <w:tcW w:type="dxa" w:w="78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Displacement deneyi: yapılandırılmış kanal kilitlenince fabrikasyon serbest metne kayıyor mu (H6, keşifsel)</w:t>
            </w:r>
          </w:p>
        </w:tc>
      </w:tr>
      <w:tr>
        <w:trPr>
          <w:tblHeader w:val="false"/>
        </w:trP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R8</w:t>
            </w:r>
          </w:p>
        </w:tc>
        <w:tc>
          <w:tcPr>
            <w:tcW w:type="dxa" w:w="78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Artefakt: FabBench repo (enjektörler + skorlayıcı + ham kayıtlar + tablo üretici); her tablo commit’li JSONL’den</w:t>
            </w:r>
          </w:p>
        </w:tc>
      </w:tr>
      <w:tr>
        <w:trPr>
          <w:tblHeader w:val="false"/>
        </w:trP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R9</w:t>
            </w:r>
          </w:p>
        </w:tc>
        <w:tc>
          <w:tcPr>
            <w:tcW w:type="dxa" w:w="78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Manuskript: elsarticle, ~9-12k kelime, 40-60 web-doğrulanmış referans</w:t>
            </w:r>
          </w:p>
        </w:tc>
      </w:tr>
      <w:tr>
        <w:trPr>
          <w:tblHeader w:val="false"/>
        </w:trP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R10</w:t>
            </w:r>
          </w:p>
        </w:tc>
        <w:tc>
          <w:tcPr>
            <w:tcW w:type="dxa" w:w="78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Süreç: tek yazar Hakan Sabuniş; gönderim öncesi eski taslak ortak-yazarlarına nezaket bildirimi</w:t>
            </w:r>
          </w:p>
        </w:tc>
      </w:tr>
      <w:tr>
        <w:trPr>
          <w:tblHeader w:val="false"/>
        </w:trP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R11</w:t>
            </w:r>
          </w:p>
        </w:tc>
        <w:tc>
          <w:tcPr>
            <w:tcW w:type="dxa" w:w="78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2026 enforcement manzarasına göre çerçeve: ifade edilebilirlik ile zorlanabilirlik ayrımı (bkz. 4.6)</w:t>
            </w:r>
          </w:p>
        </w:tc>
      </w:tr>
    </w:tbl>
    <w:p>
      <w:pPr>
        <w:spacing w:after="120"/>
      </w:pPr>
      <w:r>
        <w:t xml:space="preserve"/>
      </w:r>
    </w:p>
    <w:p>
      <w:pPr>
        <w:pStyle w:val="Heading2"/>
      </w:pPr>
      <w:r>
        <w:t xml:space="preserve">7.3 Fazlar ve bütçe</w:t>
      </w:r>
    </w:p>
    <w:p>
      <w:pPr>
        <w:spacing w:after="120"/>
      </w:pPr>
      <w:r>
        <w:t xml:space="preserve">Beş kapılı (gate) faz planı: Faz 1 katmanlı sağlayıcı paneli (battery + sweep), Faz 2 FabBench çekirdeği (enjektör x veri kümesi matrisi), Faz 3 baseline’lar + displacement, Faz 4 FabBench paketleme + mlcompass v1.0, Faz 5 manuskript + iki iç panel + gönderim. Bütçe hedefi 250 ABD dolarının altıdır; gönderim hedefi Kasım-Aralık 2026’dır; ilk hakem kararı için 2-5 aylık süre ve major revision olağan senaryo kabul edilir. Operasyonel güvenlik kuralı: API anahtarları yalnızca ortam değişkenlerinde tutulur; konuşma kanallarına ve sürüm geçmişine anahtar yazılmaz.</w:t>
      </w:r>
    </w:p>
    <w:p>
      <w:pPr>
        <w:pStyle w:val="Heading1"/>
      </w:pPr>
      <w:r>
        <w:t xml:space="preserve">8. Ön-Kayıt Disiplini (analysis_plan.md)</w:t>
      </w:r>
    </w:p>
    <w:p>
      <w:pPr>
        <w:spacing w:after="120"/>
      </w:pPr>
      <w:r>
        <w:t xml:space="preserve">Tüm hipotezler, örneklem büyüklükleri, dışlama kuralları ve karar eşikleri, paralı koşulardan ÖNCE paper/analysis_plan.md dosyasına yazılır; her değişiklik tarihli amendment olarak eklenir (A1: 13 donmuş örnek; A2: 2 vaka çalışması; A3: panel-onarım paketi; A3 uygulama ek-notu: kod dalgasında sabitlenen somut değerler). HARKing’e (sonucu görüp hipotez yazmaya) karşı ana savunma budur.</w:t>
      </w:r>
    </w:p>
    <w:p>
      <w:pPr>
        <w:pStyle w:val="Heading2"/>
      </w:pPr>
      <w:r>
        <w:t xml:space="preserve">8.1 Hipotezler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No</w:t>
            </w:r>
          </w:p>
        </w:tc>
        <w:tc>
          <w:tcPr>
            <w:tcW w:type="dxa" w:w="7726"/>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Hipotez (kısa)</w:t>
            </w:r>
          </w:p>
        </w:tc>
      </w:tr>
      <w:tr>
        <w:trPr>
          <w:tblHeader w:val="false"/>
        </w:trP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H1</w:t>
            </w:r>
          </w:p>
        </w:tc>
        <w:tc>
          <w:tcPr>
            <w:tcW w:type="dxa" w:w="77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Oranlar değişir: çıplak-anlatıcı (L1) entity-fab oranları sağlayıcılar arasında anlamlı farklıdır (A3.6 sıfır-güvenli oran kuralı: en büyük Wilson alt sınırı &gt;= 5 x en küçük Wilson üst sınırı)</w:t>
            </w:r>
          </w:p>
        </w:tc>
      </w:tr>
      <w:tr>
        <w:trPr>
          <w:tblHeader w:val="false"/>
        </w:trP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H2</w:t>
            </w:r>
          </w:p>
        </w:tc>
        <w:tc>
          <w:tcPr>
            <w:tcW w:type="dxa" w:w="77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Kontrat tutar (A3.1 ile yeniden çerçeveli): omisyon kanalı, Tier B ilk-deneme yakalama oranları ve abstention üzerinden; L3 varlık/değer sıfırları analitik olarak etiketlenir; Fisher L1-L3 testi VAKUM olduğu için geri çekildi</w:t>
            </w:r>
          </w:p>
        </w:tc>
      </w:tr>
      <w:tr>
        <w:trPr>
          <w:tblHeader w:val="false"/>
        </w:trP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H3</w:t>
            </w:r>
          </w:p>
        </w:tc>
        <w:tc>
          <w:tcPr>
            <w:tcW w:type="dxa" w:w="77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Sweep oynaklığı replike olur: adlandırılmış küme {deepseek, openai, gemini} içinde 2/3 sağlayıcıda 10x kuralı</w:t>
            </w:r>
          </w:p>
        </w:tc>
      </w:tr>
      <w:tr>
        <w:trPr>
          <w:tblHeader w:val="false"/>
        </w:trP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H4</w:t>
            </w:r>
          </w:p>
        </w:tc>
        <w:tc>
          <w:tcPr>
            <w:tcW w:type="dxa" w:w="77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Enforcement dikotomisi: hint-only modda &gt;0 ihlal (en az bir parafrazda), enforced modda 0; kritik hücreler N=200 (A3.7 güç analizi)</w:t>
            </w:r>
          </w:p>
        </w:tc>
      </w:tr>
      <w:tr>
        <w:trPr>
          <w:tblHeader w:val="false"/>
        </w:trP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H5</w:t>
            </w:r>
          </w:p>
        </w:tc>
        <w:tc>
          <w:tcPr>
            <w:tcW w:type="dxa" w:w="77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Düzeltici geri bildirim: adlandırılmış düzeltmenin koşullu tekrar oranı jenerik retten DÜŞÜK (tek yönlü Fisher); jenerik kontrol A3.2 ile eklendi</w:t>
            </w:r>
          </w:p>
        </w:tc>
      </w:tr>
      <w:tr>
        <w:trPr>
          <w:tblHeader w:val="false"/>
        </w:trP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H6</w:t>
            </w:r>
          </w:p>
        </w:tc>
        <w:tc>
          <w:tcPr>
            <w:tcW w:type="dxa" w:w="77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Displacement (keşifsel, çift yönlü): yapılandırılmış kanal kilitlenince fabrikasyon serbest metne kayabilir; LLM-judge protokolü (çapraz-aile, kappa &gt;= 0.6 insan mutabakat tabanı) Faz 3’ten önce dosya olarak donar</w:t>
            </w:r>
          </w:p>
        </w:tc>
      </w:tr>
    </w:tbl>
    <w:p>
      <w:pPr>
        <w:spacing w:after="120"/>
      </w:pPr>
      <w:r>
        <w:t xml:space="preserve"/>
      </w:r>
    </w:p>
    <w:p>
      <w:pPr>
        <w:pStyle w:val="Heading2"/>
      </w:pPr>
      <w:r>
        <w:t xml:space="preserve">8.2 A3 panel-onarım paketi (12 madde, özet)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Madde</w:t>
            </w:r>
          </w:p>
        </w:tc>
        <w:tc>
          <w:tcPr>
            <w:tcW w:type="dxa" w:w="7526"/>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İçerik</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A3.1</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H2 yeniden çerçeve: analitik ve ampirik hücre ayrımı; vakum Fisher testi geri çekildi</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A3.2</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H5 jenerik-retry kontrol kolu (layer3_stress_generic varsayılan kollara girdi)</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A3.3</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Örnek başına kanal-aktivasyon TAHMİNLERİ şimdiden donduruldu (değer kanalı ateşlenmezse R2 düşer, karar şimdiden verili)</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A3.4</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Yeni donmuş örnek #14: synthetic_crowded (değer-kanalı stresörü)</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A3.5</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Sambanis birincil çıktısı: masum kanıtta taahhüt oranı; şüpheli metrikler HESAPLANIR, asla varsayılmaz</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A3.6</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Sıfır-güvenli oran kuralları (H1 5x, H3 10x, Wilson sınırlarıyla)</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A3.7</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Kesinlik/güç beyanı: 0 / 200 gözlemi %1.88 Wilson üst sınırı bırakır; H4-kritik hücreler N=200; N=100 hücreler betimsel</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A3.8</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Holm düzeltme aileleri şimdiden sabit (F1 omisyon, F2 H4, F3 H5)</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A3.9</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(a) Bağımsız skorlayıcı, makale tabloları ondan; (b) taşıma hataları temiz veri gibi skorlanmaz</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A3.10</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Çapa adları cevabı ele vermez (nötr adlar); takma-adlandırma kolu eklendi</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A3.11</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STRESS kullanıcı mesajı L1 ile hizalandı; bodyfat el-kodu yerine lstsq</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A3.12</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Raporlama kuralları: hücre-bazlı Wilson üst sınırları; iki Haziran L1 ölçümü birlikte; abstention tanımı; H6 judge protokol şartları</w:t>
            </w:r>
          </w:p>
        </w:tc>
      </w:tr>
    </w:tbl>
    <w:p>
      <w:pPr>
        <w:spacing w:after="120"/>
      </w:pPr>
      <w:r>
        <w:t xml:space="preserve"/>
      </w:r>
    </w:p>
    <w:p>
      <w:pPr>
        <w:pStyle w:val="Heading1"/>
      </w:pPr>
      <w:r>
        <w:t xml:space="preserve">9. Ön-Kampanya Hakem Paneli ve Kod Dalgaları</w:t>
      </w:r>
    </w:p>
    <w:p>
      <w:pPr>
        <w:pStyle w:val="Heading2"/>
      </w:pPr>
      <w:r>
        <w:t xml:space="preserve">9.1 Panel (7 Temmuz 2026)</w:t>
      </w:r>
    </w:p>
    <w:p>
      <w:pPr>
        <w:spacing w:after="120"/>
      </w:pPr>
      <w:r>
        <w:t xml:space="preserve">Paralı koşulara başlamadan önce, repo-temelli üç bağımsız hakem ajan çalıştırıldı (metodoloji hakemi, alan hakemi, düşman-artefakt hakemi); rapor paper/review_panel_2026-07-07.md dosyasındadır. Ana bulgular: Fisher L1-L3 testinin analitik sıfırlar yüzünden vakum olması; H5’te “ikinci şans” ile “ihlalin adlandırılması”nın ayrışmaması; *_leak adlarının cevabı ele vermesi; taşıma hatalarının temiz veri gibi skorlanması; hash pinlemenin yalnızca ekrana yazılması; bodyfat’ta el-kodlu formül. Bulguların tamamı, A3 amendment paketi (ön-kayıt) ve üç kod dalgası olarak işlendi.</w:t>
      </w:r>
    </w:p>
    <w:p>
      <w:pPr>
        <w:pStyle w:val="Heading2"/>
      </w:pPr>
      <w:r>
        <w:t xml:space="preserve">9.2 Panel-onarım kod dalgaları (görev #101, 11/11 kalem)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5926"/>
      </w:tblGrid>
      <w:tr>
        <w:trPr>
          <w:tblHeader/>
        </w:trPr>
        <w:tc>
          <w:tcPr>
            <w:tcW w:type="dxa" w:w="14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Dalga</w:t>
            </w:r>
          </w:p>
        </w:tc>
        <w:tc>
          <w:tcPr>
            <w:tcW w:type="dxa" w:w="17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Commit</w:t>
            </w:r>
          </w:p>
        </w:tc>
        <w:tc>
          <w:tcPr>
            <w:tcW w:type="dxa" w:w="5926"/>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İçerik</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1/3</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116bb6f</w:t>
            </w:r>
            <w:r>
              <w:rPr>
                <w:b w:val="false"/>
                <w:bCs w:val="false"/>
                <w:sz w:val="19"/>
                <w:szCs w:val="19"/>
              </w:rPr>
            </w:r>
          </w:p>
        </w:tc>
        <w:tc>
          <w:tcPr>
            <w:tcW w:type="dxa" w:w="5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Nötr çapa adları (ANCHOR_SUFFIX + expected_anchor tek-doğruluk-kaynağı); SHA256 fail-closed hash zorlaması; bodyfat lstsq + csv görevinde hesaplanan r²; +14 doğrulanmış referans (toplam 53)</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2/3</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c1bc372</w:t>
            </w:r>
            <w:r>
              <w:rPr>
                <w:b w:val="false"/>
                <w:bCs w:val="false"/>
                <w:sz w:val="19"/>
                <w:szCs w:val="19"/>
              </w:rPr>
            </w:r>
          </w:p>
        </w:tc>
        <w:tc>
          <w:tcPr>
            <w:tcW w:type="dxa" w:w="5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--strict bayrağı ve strict-uyumlu şema varyantı (H4); correction_style=generic (H5 kontrolü); {error} işaretleyicileri + skor dışlama; neutral_user (A3.11); layer3_stress_generic kolu; +7 test</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3/3</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b8ddce5</w:t>
            </w:r>
            <w:r>
              <w:rPr>
                <w:b w:val="false"/>
                <w:bCs w:val="false"/>
                <w:sz w:val="19"/>
                <w:szCs w:val="19"/>
              </w:rPr>
            </w:r>
          </w:p>
        </w:tc>
        <w:tc>
          <w:tcPr>
            <w:tcW w:type="dxa" w:w="5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independent_scorer.py (A3.9a); synthetic_crowded #14 + --task synthetic-crowded + fetch verify; temperature=1.0 pini + sampling kaydı + reddetme fallback’i; make_tables.py (R8); --pseudonymize (A3.10); evidence_&lt;hash&gt;.json dökümü; kayıt-meta; +13 test; ön-kayıt uygulama ek-notu</w:t>
            </w:r>
          </w:p>
        </w:tc>
      </w:tr>
    </w:tbl>
    <w:p>
      <w:pPr>
        <w:spacing w:after="120"/>
      </w:pPr>
      <w:r>
        <w:t xml:space="preserve"/>
      </w:r>
    </w:p>
    <w:p>
      <w:pPr>
        <w:spacing w:after="120"/>
      </w:pPr>
      <w:r>
        <w:t xml:space="preserve">Skorlayıcı hizalaması sırasında iki ince kural açıklığa kavuştu ve ön-kayda yazıldı: kanıt dışı bir CLAIM sütunu varlık ihlalidir (değer kanalı, gerçek sütunda yanlış sayı içindir); omisyon, en az bir atıf veya iddia içeren “özlü” taahhüt gerektirir (boş yanıt omisyon değildir).</w:t>
      </w:r>
    </w:p>
    <w:p>
      <w:pPr>
        <w:pStyle w:val="Heading1"/>
      </w:pPr>
      <w:r>
        <w:t xml:space="preserve">10. Güncel Durum ve Sıradaki Adımlar</w:t>
      </w:r>
    </w:p>
    <w:p>
      <w:pPr>
        <w:pStyle w:val="Heading2"/>
      </w:pPr>
      <w:r>
        <w:t xml:space="preserve">10.1 Durum (7 Temmuz 2026 akşamı)</w:t>
      </w:r>
    </w:p>
    <w:p>
      <w:pPr>
        <w:pStyle w:val="ListParagraph"/>
        <w:numPr>
          <w:ilvl w:val="0"/>
          <w:numId w:val="2"/>
        </w:numPr>
        <w:spacing w:after="60"/>
      </w:pPr>
      <w:r>
        <w:t xml:space="preserve">Test paketi: 608 geçiyor; 10 başarısızlık bu ortamda tbparse ve pytest-asyncio kurulu olmamasından (kod hatası değil, kampanya dosyalarıyla ilgisiz). ruff + mypy temiz.</w:t>
      </w:r>
    </w:p>
    <w:p>
      <w:pPr>
        <w:pStyle w:val="ListParagraph"/>
        <w:numPr>
          <w:ilvl w:val="0"/>
          <w:numId w:val="2"/>
        </w:numPr>
        <w:spacing w:after="60"/>
      </w:pPr>
      <w:r>
        <w:t xml:space="preserve">Faz 0 kapandı: telemetri, ön-kayıt, veri kümeleri (hash’li), 53 doğrulanmış referans, panel + onarım dalgaları, Opus devri playbook’u (paper/HANDOVER_OPUS.md).</w:t>
      </w:r>
    </w:p>
    <w:p>
      <w:pPr>
        <w:pStyle w:val="ListParagraph"/>
        <w:numPr>
          <w:ilvl w:val="0"/>
          <w:numId w:val="2"/>
        </w:numPr>
        <w:spacing w:after="60"/>
      </w:pPr>
      <w:r>
        <w:t xml:space="preserve">Görev #101 (panel-onarım kod dalgası) tamamlanmıştır; paralı koşuların önündeki tek engel API kredileri (kullanıcı aksiyonu).</w:t>
      </w:r>
    </w:p>
    <w:p>
      <w:pPr>
        <w:pStyle w:val="Heading2"/>
      </w:pPr>
      <w:r>
        <w:t xml:space="preserve">10.2 Sıradaki adımlar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Sıra</w:t>
            </w:r>
          </w:p>
        </w:tc>
        <w:tc>
          <w:tcPr>
            <w:tcW w:type="dxa" w:w="7226"/>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Adım</w:t>
            </w:r>
          </w:p>
        </w:tc>
      </w:tr>
      <w:tr>
        <w:trPr>
          <w:tblHeader w:val="false"/>
        </w:trP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1 (kullanıcı)</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API kredilerini yükle (anahtarlar yalnızca ortam değişkenine); python scripts/reproduce_hallucination_ablation.py --check-providers ile anahtar görünürlüğünü doğrula</w:t>
            </w:r>
          </w:p>
        </w:tc>
      </w:tr>
      <w:tr>
        <w:trPr>
          <w:tblHeader w:val="false"/>
        </w:trP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2</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Her sağlayıcıda --smoke (N=5) kablolama doğrulaması; sonra --dry-run ile maliyet planı</w:t>
            </w:r>
          </w:p>
        </w:tc>
      </w:tr>
      <w:tr>
        <w:trPr>
          <w:tblHeader w:val="false"/>
        </w:trP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3 (Faz 1)</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Katmanlı panel: battery (5 varsayılan kol + tier_a/stress_mech) + sweep; her blok sonrası kayıt + commit</w:t>
            </w:r>
          </w:p>
        </w:tc>
      </w:tr>
      <w:tr>
        <w:trPr>
          <w:tblHeader w:val="false"/>
        </w:trP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4 (Faz 2)</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FabBench matrisi: 14 donmuş örnek x sağlayıcılar; --pseudonymize hücresi; make_tables ile tablolar</w:t>
            </w:r>
          </w:p>
        </w:tc>
      </w:tr>
      <w:tr>
        <w:trPr>
          <w:tblHeader w:val="false"/>
        </w:trP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5 (Faz 3-5)</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Guardrails/NeMo/Outlines baseline’ları, displacement (H6 judge protokolü önce donar), paketleme, manuskript, 2 iç panel, ESWA gönderimi</w:t>
            </w:r>
          </w:p>
        </w:tc>
      </w:tr>
    </w:tbl>
    <w:p>
      <w:pPr>
        <w:spacing w:after="120"/>
      </w:pPr>
      <w:r>
        <w:t xml:space="preserve"/>
      </w:r>
    </w:p>
    <w:p>
      <w:pPr>
        <w:pStyle w:val="Heading2"/>
      </w:pPr>
      <w:r>
        <w:t xml:space="preserve">10.3 Devir notu</w:t>
      </w:r>
    </w:p>
    <w:p>
      <w:pPr>
        <w:spacing w:after="120"/>
      </w:pPr>
      <w:r>
        <w:t xml:space="preserve">Yarından itibaren yürütme Opus 4.8 ile devam edebilir: paper/HANDOVER_OPUS.md, ilk-gün sırası, kalan işler, manuskript planı (bölüm 4) ve koşu komutlarıyla tam bir playbook’tur. Manuskript-zamanına bırakılan iki küçük iş: 76-vs-80 ifadesinin netleştirilmesi ve iki Haziran L1 ölçümünün birlikte raporlanması (A3.12).</w:t>
      </w:r>
    </w:p>
    <w:p>
      <w:pPr>
        <w:pStyle w:val="Heading1"/>
      </w:pPr>
      <w:r>
        <w:t xml:space="preserve">11. Depo Haritası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5426"/>
      </w:tblGrid>
      <w:tr>
        <w:trPr>
          <w:tblHeader/>
        </w:trPr>
        <w:tc>
          <w:tcPr>
            <w:tcW w:type="dxa" w:w="42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Yol</w:t>
            </w:r>
          </w:p>
        </w:tc>
        <w:tc>
          <w:tcPr>
            <w:tcW w:type="dxa" w:w="5426"/>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İçerik</w:t>
            </w:r>
          </w:p>
        </w:tc>
      </w:tr>
      <w:tr>
        <w:trPr>
          <w:tblHeader w:val="false"/>
        </w:trP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src/mlcompass/tools/leakage.py</w:t>
            </w:r>
            <w:r>
              <w:rPr>
                <w:b w:val="false"/>
                <w:bCs w:val="false"/>
                <w:sz w:val="19"/>
                <w:szCs w:val="19"/>
              </w:rPr>
            </w:r>
          </w:p>
        </w:tc>
        <w:tc>
          <w:tcPr>
            <w:tcW w:type="dxa" w:w="5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Deterministik sızıntı dedektörü (kanıt üreticisi)</w:t>
            </w:r>
          </w:p>
        </w:tc>
      </w:tr>
      <w:tr>
        <w:trPr>
          <w:tblHeader w:val="false"/>
        </w:trP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src/mlcompass/agents/leakage_investigator.py</w:t>
            </w:r>
            <w:r>
              <w:rPr>
                <w:b w:val="false"/>
                <w:bCs w:val="false"/>
                <w:sz w:val="19"/>
                <w:szCs w:val="19"/>
              </w:rPr>
            </w:r>
          </w:p>
        </w:tc>
        <w:tc>
          <w:tcPr>
            <w:tcW w:type="dxa" w:w="5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Kontrat: Tier A şema üreticileri + investigate_leakage_bound (Tier B döngüsü)</w:t>
            </w:r>
          </w:p>
        </w:tc>
      </w:tr>
      <w:tr>
        <w:trPr>
          <w:tblHeader w:val="false"/>
        </w:trP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scripts/reproduce_hallucination_ablation.py</w:t>
            </w:r>
            <w:r>
              <w:rPr>
                <w:b w:val="false"/>
                <w:bCs w:val="false"/>
                <w:sz w:val="19"/>
                <w:szCs w:val="19"/>
              </w:rPr>
            </w:r>
          </w:p>
        </w:tc>
        <w:tc>
          <w:tcPr>
            <w:tcW w:type="dxa" w:w="5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Ölçüm harness’i: kollar, sweep, para-güvenlik, RunLog, CLI</w:t>
            </w:r>
          </w:p>
        </w:tc>
      </w:tr>
      <w:tr>
        <w:trPr>
          <w:tblHeader w:val="false"/>
        </w:trP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scripts/fabbench_injectors.py</w:t>
            </w:r>
            <w:r>
              <w:rPr>
                <w:b w:val="false"/>
                <w:bCs w:val="false"/>
                <w:sz w:val="19"/>
                <w:szCs w:val="19"/>
              </w:rPr>
            </w:r>
          </w:p>
        </w:tc>
        <w:tc>
          <w:tcPr>
            <w:tcW w:type="dxa" w:w="5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6 enjektör + crowded_frame (#14) + nötr ad haritası</w:t>
            </w:r>
          </w:p>
        </w:tc>
      </w:tr>
      <w:tr>
        <w:trPr>
          <w:tblHeader w:val="false"/>
        </w:trP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scripts/fetch_fabbench_datasets.py</w:t>
            </w:r>
            <w:r>
              <w:rPr>
                <w:b w:val="false"/>
                <w:bCs w:val="false"/>
                <w:sz w:val="19"/>
                <w:szCs w:val="19"/>
              </w:rPr>
            </w:r>
          </w:p>
        </w:tc>
        <w:tc>
          <w:tcPr>
            <w:tcW w:type="dxa" w:w="5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Veri indirme (SHA256 fail-closed) + frozen/extended/case doğrulamaları</w:t>
            </w:r>
          </w:p>
        </w:tc>
      </w:tr>
      <w:tr>
        <w:trPr>
          <w:tblHeader w:val="false"/>
        </w:trP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scripts/independent_scorer.py</w:t>
            </w:r>
            <w:r>
              <w:rPr>
                <w:b w:val="false"/>
                <w:bCs w:val="false"/>
                <w:sz w:val="19"/>
                <w:szCs w:val="19"/>
              </w:rPr>
            </w:r>
          </w:p>
        </w:tc>
        <w:tc>
          <w:tcPr>
            <w:tcW w:type="dxa" w:w="5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Bağımsız yeniden-skorlayıcı (A3.9a); makale tablolarının kaynağı</w:t>
            </w:r>
          </w:p>
        </w:tc>
      </w:tr>
      <w:tr>
        <w:trPr>
          <w:tblHeader w:val="false"/>
        </w:trP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scripts/make_tables.py</w:t>
            </w:r>
            <w:r>
              <w:rPr>
                <w:b w:val="false"/>
                <w:bCs w:val="false"/>
                <w:sz w:val="19"/>
                <w:szCs w:val="19"/>
              </w:rPr>
            </w:r>
          </w:p>
        </w:tc>
        <w:tc>
          <w:tcPr>
            <w:tcW w:type="dxa" w:w="5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Commit’li JSONL’den Markdown/LaTeX tablo üretici (R8)</w:t>
            </w:r>
          </w:p>
        </w:tc>
      </w:tr>
      <w:tr>
        <w:trPr>
          <w:tblHeader w:val="false"/>
        </w:trP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paper/Q1_ROADMAP.md</w:t>
            </w:r>
            <w:r>
              <w:rPr>
                <w:b w:val="false"/>
                <w:bCs w:val="false"/>
                <w:sz w:val="19"/>
                <w:szCs w:val="19"/>
              </w:rPr>
            </w:r>
          </w:p>
        </w:tc>
        <w:tc>
          <w:tcPr>
            <w:tcW w:type="dxa" w:w="5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Q1 kampanyasının OTORİTE yol haritası (R1-R11, fazlar, kararlar)</w:t>
            </w:r>
          </w:p>
        </w:tc>
      </w:tr>
      <w:tr>
        <w:trPr>
          <w:tblHeader w:val="false"/>
        </w:trP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paper/analysis_plan.md</w:t>
            </w:r>
            <w:r>
              <w:rPr>
                <w:b w:val="false"/>
                <w:bCs w:val="false"/>
                <w:sz w:val="19"/>
                <w:szCs w:val="19"/>
              </w:rPr>
            </w:r>
          </w:p>
        </w:tc>
        <w:tc>
          <w:tcPr>
            <w:tcW w:type="dxa" w:w="5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Ön-kayıt: H1-H6 + A1/A2/A3 + uygulama ek-notu</w:t>
            </w:r>
          </w:p>
        </w:tc>
      </w:tr>
      <w:tr>
        <w:trPr>
          <w:tblHeader w:val="false"/>
        </w:trP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paper/HANDOVER_OPUS.md</w:t>
            </w:r>
            <w:r>
              <w:rPr>
                <w:b w:val="false"/>
                <w:bCs w:val="false"/>
                <w:sz w:val="19"/>
                <w:szCs w:val="19"/>
              </w:rPr>
            </w:r>
          </w:p>
        </w:tc>
        <w:tc>
          <w:tcPr>
            <w:tcW w:type="dxa" w:w="5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Devir playbook’u (ilk gün sırası, koşu komutları, manuskript planı)</w:t>
            </w:r>
          </w:p>
        </w:tc>
      </w:tr>
      <w:tr>
        <w:trPr>
          <w:tblHeader w:val="false"/>
        </w:trP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paper/review_panel_2026-07-07.md</w:t>
            </w:r>
            <w:r>
              <w:rPr>
                <w:b w:val="false"/>
                <w:bCs w:val="false"/>
                <w:sz w:val="19"/>
                <w:szCs w:val="19"/>
              </w:rPr>
            </w:r>
          </w:p>
        </w:tc>
        <w:tc>
          <w:tcPr>
            <w:tcW w:type="dxa" w:w="5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3-hakem ön-kampanya panel raporu</w:t>
            </w:r>
          </w:p>
        </w:tc>
      </w:tr>
      <w:tr>
        <w:trPr>
          <w:tblHeader w:val="false"/>
        </w:trP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paper/references_verified.md</w:t>
            </w:r>
            <w:r>
              <w:rPr>
                <w:b w:val="false"/>
                <w:bCs w:val="false"/>
                <w:sz w:val="19"/>
                <w:szCs w:val="19"/>
              </w:rPr>
            </w:r>
          </w:p>
        </w:tc>
        <w:tc>
          <w:tcPr>
            <w:tcW w:type="dxa" w:w="5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53 web-doğrulanmış referans (tema tema, URL + ilgililik notlarıyla)</w:t>
            </w:r>
          </w:p>
        </w:tc>
      </w:tr>
      <w:tr>
        <w:trPr>
          <w:tblHeader w:val="false"/>
        </w:trP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paper/INISTA_Paper.md + paper/inista_latex/</w:t>
            </w:r>
            <w:r>
              <w:rPr>
                <w:b w:val="false"/>
                <w:bCs w:val="false"/>
                <w:sz w:val="19"/>
                <w:szCs w:val="19"/>
              </w:rPr>
            </w:r>
          </w:p>
        </w:tc>
        <w:tc>
          <w:tcPr>
            <w:tcW w:type="dxa" w:w="5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Donmuş INISTA taslağı (Haziran hali) + LaTeX kaynakları</w:t>
            </w:r>
          </w:p>
        </w:tc>
      </w:tr>
      <w:tr>
        <w:trPr>
          <w:tblHeader w:val="false"/>
        </w:trP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paper/ablation_live_*.md</w:t>
            </w:r>
            <w:r>
              <w:rPr>
                <w:b w:val="false"/>
                <w:bCs w:val="false"/>
                <w:sz w:val="19"/>
                <w:szCs w:val="19"/>
              </w:rPr>
            </w:r>
          </w:p>
        </w:tc>
        <w:tc>
          <w:tcPr>
            <w:tcW w:type="dxa" w:w="5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Haziran canlı ölçüm kayıtları (5 dosya)</w:t>
            </w:r>
          </w:p>
        </w:tc>
      </w:tr>
      <w:tr>
        <w:trPr>
          <w:tblHeader w:val="false"/>
        </w:trP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tests/</w:t>
            </w:r>
            <w:r>
              <w:rPr>
                <w:b w:val="false"/>
                <w:bCs w:val="false"/>
                <w:sz w:val="19"/>
                <w:szCs w:val="19"/>
              </w:rPr>
            </w:r>
          </w:p>
        </w:tc>
        <w:tc>
          <w:tcPr>
            <w:tcW w:type="dxa" w:w="5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608 geçen test; kontrat/harness/skorlayıcı/enjektör regresyon ağı</w:t>
            </w:r>
          </w:p>
        </w:tc>
      </w:tr>
    </w:tbl>
    <w:p>
      <w:pPr>
        <w:spacing w:after="120"/>
      </w:pPr>
      <w:r>
        <w:t xml:space="preserve"/>
      </w:r>
    </w:p>
    <w:p>
      <w:pPr>
        <w:pStyle w:val="Heading1"/>
      </w:pPr>
      <w:r>
        <w:t xml:space="preserve">12. Sözlük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Terim</w:t>
            </w:r>
          </w:p>
        </w:tc>
        <w:tc>
          <w:tcPr>
            <w:tcW w:type="dxa" w:w="6426"/>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pPr>
            <w:r>
              <w:rPr>
                <w:b/>
                <w:bCs/>
                <w:sz w:val="19"/>
                <w:szCs w:val="19"/>
              </w:rPr>
              <w:t xml:space="preserve">Anlam</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Entity fabrication</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Kanıtta olmayan bir sütun/varlık adına atıf üretme</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Value fabrication</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Kanıttaki gerçek bir büyüklüğü yanlış sayıyla aktarma (tolerans ±0.005)</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Critical omission</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Hükme varıp kanıttaki en kritik öğeyi (çapa) hiç anmama</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Anchor (çapa)</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candidate_leak_columns listesinin ilk elemanı; tamlık kanalının referansı</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Tier A</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Çağrı anında kanıttan üretilen enum’lu araç şeması</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Tier B</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Sağlayıcıdan bağımsız deterministik doğrulama + retry + strip + flag katmanı</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STRESS kolu</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Çıplak prompt + enum kapalı + yalnız Tier B çalışan tanı konfigürasyonu</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Abstention</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verdict == cannot_determine ile açık çekimserlik; omisyon sayılmaz</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Analitik hücre</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Değeri yapı gereği (strip semantiği) sıfır olan ölçüm hücresi; model davranışı kanıtı değildir</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Injector</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Gerçek veri çerçevesine tek kontrollü sızıntı deseni ekleyen fonksiyon</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Frozen instance</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Ön-kayıtta dondurulmuş (dataset, injector) makale örneği; #1-14</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Evidence hash</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Kanıt sözlüğünün SHA256 kısa özeti; koşu hücresinin gerçek kimliği</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k / N gösterimi</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N yanıtlık hücrede k ihlal (pay/payda); 0 / 200 = 200 yanıtta sıfır ihlal gözlemi, kesin sıfır değil (bkz. 1.5)</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Hücre</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(sağlayıcı, model, görev, kol, N, seed, kanıt-hash) yedilisiyle tanımlı ölçüm birimi; N bağımsız yanıt içerir</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Wilson %95 GA</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Oran için Wilson skor güven aralığı; 0 / 200 gözlemi %1.88, 0 / 100 gözlemi %3.70 üst sınır bırakır</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Strict decoding</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Sağlayıcının şemayı decode sırasında zorlaması (E/O sınıfları); H sınıfında yalnız ipucu</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Sweep</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Aynı görevin 6 kural-içermeyen sistem-prompt parafrazı üzerinde tarama</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DoD</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Definition of Done: R1-R11 gereksinim listesi (Q1_ROADMAP.md)</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HARKing</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9"/>
                <w:szCs w:val="19"/>
              </w:rPr>
              <w:t xml:space="preserve">Sonuçlar görüldükten sonra hipotez yazma; ön-kayıt bunu engeller</w:t>
            </w:r>
          </w:p>
        </w:tc>
      </w:tr>
    </w:tbl>
    <w:p>
      <w:pPr>
        <w:spacing w:after="120"/>
      </w:pPr>
      <w:r>
        <w:t xml:space="preserve"/>
      </w:r>
    </w:p>
    <w:p>
      <w:pPr>
        <w:spacing w:after="120"/>
      </w:pPr>
      <w:r>
        <w:rPr>
          <w:b/>
          <w:bCs/>
        </w:rPr>
        <w:t xml:space="preserve">Belge sonu. </w:t>
      </w:r>
      <w:r>
        <w:t xml:space="preserve">Bu dokümantasyon 7 Temmuz 2026 akşamı itibarıyla depo durumunu (commit b8ddce5) yansıtır; otorite kaynaklar her zaman repo içindeki paper/Q1_ROADMAP.md ve paper/analysis_plan.md dosyalarıdır.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7"/>
        <w:szCs w:val="17"/>
      </w:rPr>
      <w:t xml:space="preserve">Sayfa </w:t>
    </w:r>
    <w:r>
      <w:rPr>
        <w:color w:val="666666"/>
        <w:sz w:val="17"/>
        <w:szCs w:val="17"/>
      </w:rPr>
      <w:fldChar w:fldCharType="begin"/>
      <w:instrText xml:space="preserve">PAGE</w:instrText>
      <w:fldChar w:fldCharType="separate"/>
      <w:fldChar w:fldCharType="end"/>
    </w:r>
    <w:r>
      <w:rPr>
        <w:color w:val="666666"/>
        <w:sz w:val="17"/>
        <w:szCs w:val="17"/>
      </w:rPr>
      <w:t xml:space="preserve"> / </w:t>
    </w:r>
    <w:r>
      <w:rPr>
        <w:color w:val="66666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CB3D4" w:sz="4" w:space="2"/>
      </w:pBdr>
    </w:pPr>
    <w:r>
      <w:rPr>
        <w:color w:val="666666"/>
        <w:sz w:val="17"/>
        <w:szCs w:val="17"/>
      </w:rPr>
      <w:t xml:space="preserve">mlcompass Teknik Dokümantasyon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5395"/>
      <w:sz w:val="26"/>
      <w:szCs w:val="26"/>
    </w:rPr>
  </w:style>
  <w:style w:type="paragraph" w:styleId="Heading3">
    <w:name w:val="Heading 3"/>
    <w:basedOn w:val="Normal"/>
    <w:next w:val="Normal"/>
    <w:qFormat/>
    <w:pPr>
      <w:spacing w:after="100" w:before="18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2026-07-07T13:42:16.341Z</dcterms:created>
  <dcterms:modified xsi:type="dcterms:W3CDTF">2026-07-07T13:42:16.342Z</dcterms:modified>
</cp:coreProperties>
</file>

<file path=docProps/custom.xml><?xml version="1.0" encoding="utf-8"?>
<Properties xmlns="http://schemas.openxmlformats.org/officeDocument/2006/custom-properties" xmlns:vt="http://schemas.openxmlformats.org/officeDocument/2006/docPropsVTypes"/>
</file>