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52ED" w14:textId="77777777" w:rsidR="006F3A31" w:rsidRDefault="00000000">
      <w:pPr>
        <w:spacing w:before="240" w:after="240"/>
        <w:ind w:firstLine="0"/>
        <w:jc w:val="center"/>
      </w:pPr>
      <w:r>
        <w:rPr>
          <w:b/>
          <w:sz w:val="40"/>
        </w:rPr>
        <w:t>An Evidence-Bound Runtime Schema for Claim-Faithful LLM Narration of Machine-Learning Pipeline Evidence</w:t>
      </w:r>
    </w:p>
    <w:p w14:paraId="215B3C52" w14:textId="77777777" w:rsidR="006F3A31" w:rsidRDefault="00000000">
      <w:pPr>
        <w:spacing w:after="40"/>
        <w:ind w:firstLine="0"/>
        <w:jc w:val="center"/>
      </w:pPr>
      <w:r>
        <w:rPr>
          <w:sz w:val="24"/>
        </w:rPr>
        <w:t>Hakan Sabuniş, Yusuf Ünlü, and Selim Akyokuş</w:t>
      </w:r>
    </w:p>
    <w:p w14:paraId="4425D0AF" w14:textId="77777777" w:rsidR="006F3A31" w:rsidRDefault="00000000">
      <w:pPr>
        <w:spacing w:after="40"/>
        <w:ind w:firstLine="0"/>
        <w:jc w:val="center"/>
      </w:pPr>
      <w:r>
        <w:t>School of Engineering and Natural Sciences, Istanbul Medipol University, Istanbul, Turkey</w:t>
      </w:r>
    </w:p>
    <w:p w14:paraId="79C39A92" w14:textId="4292522F" w:rsidR="006F3A31" w:rsidRDefault="00000000">
      <w:pPr>
        <w:spacing w:after="240"/>
        <w:ind w:firstLine="0"/>
        <w:jc w:val="center"/>
      </w:pPr>
      <w:r>
        <w:rPr>
          <w:i/>
        </w:rPr>
        <w:t xml:space="preserve">{hakansabunis, </w:t>
      </w:r>
      <w:proofErr w:type="spellStart"/>
      <w:r w:rsidR="00E74A18" w:rsidRPr="00E74A18">
        <w:rPr>
          <w:i/>
        </w:rPr>
        <w:t>yusuf.nlu</w:t>
      </w:r>
      <w:proofErr w:type="spellEnd"/>
      <w:r>
        <w:rPr>
          <w:i/>
        </w:rPr>
        <w:t>}@</w:t>
      </w:r>
      <w:r w:rsidR="00E74A18">
        <w:rPr>
          <w:i/>
        </w:rPr>
        <w:t>gmail.com</w:t>
      </w:r>
      <w:r>
        <w:rPr>
          <w:i/>
        </w:rPr>
        <w:t>, sakyokus@medipol.edu.tr</w:t>
      </w:r>
    </w:p>
    <w:p w14:paraId="600DBA70" w14:textId="77777777" w:rsidR="006F3A31" w:rsidRDefault="006F3A31">
      <w:pPr>
        <w:sectPr w:rsidR="006F3A31">
          <w:pgSz w:w="12240" w:h="15840"/>
          <w:pgMar w:top="1080" w:right="1080" w:bottom="1440" w:left="1080" w:header="720" w:footer="720" w:gutter="0"/>
          <w:cols w:space="360"/>
          <w:docGrid w:linePitch="360"/>
        </w:sectPr>
      </w:pPr>
    </w:p>
    <w:p w14:paraId="09B64E01" w14:textId="77777777" w:rsidR="006F3A31" w:rsidRDefault="00000000">
      <w:pPr>
        <w:spacing w:before="120" w:after="120"/>
        <w:ind w:firstLine="0"/>
      </w:pPr>
      <w:r>
        <w:rPr>
          <w:b/>
          <w:i/>
        </w:rPr>
        <w:t>Abstract—</w:t>
      </w:r>
      <w:r>
        <w:t xml:space="preserve">LLM agents increasingly explain what deterministic tools have measured, and the explanations are not reliable: the agent will cite columns, defects, or numbers that are absent from the upstream evidence or contradict it. Our starting point is that this setting is easier than hallucination in general. What the narrator may cite is finite and machine-enumerable at call time, a property we call </w:t>
      </w:r>
      <w:r>
        <w:rPr>
          <w:i/>
        </w:rPr>
        <w:t>evidence-closed</w:t>
      </w:r>
      <w:r>
        <w:t xml:space="preserve">; faithfulness can therefore be checked exactly, and fabrication prevented outright rather than statistically reduced. We build the check into a two-tier </w:t>
      </w:r>
      <w:r>
        <w:rPr>
          <w:i/>
        </w:rPr>
        <w:t>evidence-bound runtime schema</w:t>
      </w:r>
      <w:r>
        <w:t xml:space="preserve">. Tier A generates the </w:t>
      </w:r>
      <w:r>
        <w:rPr>
          <w:rFonts w:ascii="Consolas" w:hAnsi="Consolas"/>
          <w:sz w:val="18"/>
        </w:rPr>
        <w:t>enum</w:t>
      </w:r>
      <w:r>
        <w:t xml:space="preserve"> domains of the tool-input schema from the evidence at call time. Tier B re-verifies the returned answer in plain code (entity soundness, claim-value soundness, completeness) with corrective retry, stripping, and flagging, trusting no provider enforcement. Two short formal observations carry the design: verification is linear-time, and deletion repairs soundness safely while no safe repair exists for completeness. Live measurements (N = 200 per cell) back this up. Across six rule-free paraphrases of one instruction, the bare narrator fabricated on identical evidence at rates from 1% to 100%; the contract held the user-facing rate at 0/200 on all three channels of a synthetic and a real-data leakage task; under stress the verifier caught 76 live violations, passed none through, and one corrective message cut repeat violations from 37.5% to 1.3%. The contract ships in the production narrator of mlcompass, an open-source ML-pipeline assistant.</w:t>
      </w:r>
    </w:p>
    <w:p w14:paraId="31DB44BF" w14:textId="77777777" w:rsidR="006F3A31" w:rsidRDefault="00000000">
      <w:pPr>
        <w:spacing w:before="40" w:after="120"/>
        <w:ind w:firstLine="0"/>
      </w:pPr>
      <w:r>
        <w:rPr>
          <w:b/>
          <w:i/>
        </w:rPr>
        <w:t>Index Terms—</w:t>
      </w:r>
      <w:r>
        <w:rPr>
          <w:i/>
        </w:rPr>
        <w:t>Agentic AI, large language models, hallucination mitigation, constrained generation, claim verification, tool use, data leakage.</w:t>
      </w:r>
    </w:p>
    <w:p w14:paraId="43E918B2" w14:textId="77777777" w:rsidR="006F3A31" w:rsidRDefault="00000000">
      <w:pPr>
        <w:spacing w:before="160" w:after="80"/>
        <w:ind w:firstLine="0"/>
        <w:jc w:val="center"/>
      </w:pPr>
      <w:r>
        <w:rPr>
          <w:b/>
        </w:rPr>
        <w:t>I. INTRODUCTION</w:t>
      </w:r>
    </w:p>
    <w:p w14:paraId="60653F2D" w14:textId="77777777" w:rsidR="006F3A31" w:rsidRDefault="00000000">
      <w:pPr>
        <w:spacing w:after="60"/>
      </w:pPr>
      <w:r>
        <w:t>Machine-learning practice runs on a patchwork of single-purpose tools. A profiling library inspects the dataset [1], experiment trackers log training runs [2], [3], and automated model search picks an estimator [4]. Each covers one slice; none tells the engineer what the results mean. The now-standard answer to that gap is agentic: put a large language model (LLM) on top, let it call the tools, read their structured output, and explain, following the pattern formalized by ReAct [5] and Toolformer [6] and operationalized by tool-integration standards [7].</w:t>
      </w:r>
    </w:p>
    <w:p w14:paraId="27358B5F" w14:textId="77777777" w:rsidR="006F3A31" w:rsidRDefault="00000000">
      <w:pPr>
        <w:spacing w:after="60"/>
      </w:pPr>
      <w:r>
        <w:t xml:space="preserve">The trouble is that LLMs hallucinate [8], [9], and assistants built on the same foundation models [10] still fail </w:t>
      </w:r>
      <w:r>
        <w:t xml:space="preserve">real software tasks at substantial rates [11]. In an advisory ML setting the failure takes a specific form. The narrated object is </w:t>
      </w:r>
      <w:r>
        <w:rPr>
          <w:i/>
        </w:rPr>
        <w:t>structured evidence</w:t>
      </w:r>
      <w:r>
        <w:t xml:space="preserve">, a dictionary of facts that a deterministic tool actually measured, and the narrator can invent members of it: a column the data does not contain, a defect nobody detected, a number that contradicts the report. We call this </w:t>
      </w:r>
      <w:r>
        <w:rPr>
          <w:b/>
        </w:rPr>
        <w:t>phantom-entity fabrication</w:t>
      </w:r>
      <w:r>
        <w:t xml:space="preserve">. In the taxonomy of Ji </w:t>
      </w:r>
      <w:r>
        <w:rPr>
          <w:i/>
        </w:rPr>
        <w:t>et al.</w:t>
      </w:r>
      <w:r>
        <w:t xml:space="preserve"> [8] it is a closed-world faithfulness failure, extrinsic when an entity is invented and intrinsic when a quantity contradicts the source, but the source here happens to be fully enumerable. The cost is concrete. A wrong diagnosis delivered fluently is worse than no diagnosis, because the practitioner acts on it.</w:t>
      </w:r>
    </w:p>
    <w:p w14:paraId="4C30962D" w14:textId="77777777" w:rsidR="006F3A31" w:rsidRDefault="00000000">
      <w:pPr>
        <w:spacing w:after="60"/>
      </w:pPr>
      <w:r>
        <w:t xml:space="preserve">That enumerability is what this paper is built on. </w:t>
      </w:r>
      <w:r>
        <w:rPr>
          <w:b/>
        </w:rPr>
        <w:t>Definition (evidence-closed narration).</w:t>
      </w:r>
      <w:r>
        <w:t xml:space="preserve"> </w:t>
      </w:r>
      <w:r>
        <w:rPr>
          <w:i/>
        </w:rPr>
        <w:t>A narration task is evidence-closed if the set of citable entities and verifiable quantities is finite and machine-enumerable at the moment of the narration call.</w:t>
      </w:r>
      <w:r>
        <w:t xml:space="preserve"> Once a task is evidence-closed, faithfulness checking stops being a modeling problem. Entity citations are set-membership tests, quantitative claims are numeric comparisons, and coverage of the critical finding is one more membership test. The check is </w:t>
      </w:r>
      <w:r>
        <w:rPr>
          <w:i/>
        </w:rPr>
        <w:t>decidable</w:t>
      </w:r>
      <w:r>
        <w:t xml:space="preserve">, which changes the sensible goal from </w:t>
      </w:r>
      <w:r>
        <w:rPr>
          <w:i/>
        </w:rPr>
        <w:t>mitigation</w:t>
      </w:r>
      <w:r>
        <w:t xml:space="preserve">, pushing a fabrication probability down, to </w:t>
      </w:r>
      <w:r>
        <w:rPr>
          <w:i/>
        </w:rPr>
        <w:t>prevention</w:t>
      </w:r>
      <w:r>
        <w:t>, making an unfaithful answer impossible to return.</w:t>
      </w:r>
    </w:p>
    <w:p w14:paraId="7EFE0DF1" w14:textId="77777777" w:rsidR="006F3A31" w:rsidRDefault="00000000">
      <w:pPr>
        <w:spacing w:after="60"/>
      </w:pPr>
      <w:r>
        <w:t>Constrained generation looks like the natural tool for this. Outlines [12], LMQL [13], grammar-constrained decoding [14], and Guidance [15] restrict what a model may emit during decoding, and provider tool-use APIs validate calls against a declared JSON schema [16]. Input-dependent grammars exist too [14]. Two things still go wrong in our setting. Decoding-time enforcement needs access to the token distribution, and commercial APIs do not expose it. A per-call schema, in turn, only helps if the provider's enforcement is trusted, and for a safety claim it should not be.</w:t>
      </w:r>
    </w:p>
    <w:p w14:paraId="7369CF55" w14:textId="77777777" w:rsidR="006F3A31" w:rsidRDefault="00000000">
      <w:pPr>
        <w:spacing w:after="60"/>
      </w:pPr>
      <w:r>
        <w:t xml:space="preserve">Our answer is a two-tier </w:t>
      </w:r>
      <w:r>
        <w:rPr>
          <w:b/>
        </w:rPr>
        <w:t>evidence-bound runtime schema</w:t>
      </w:r>
      <w:r>
        <w:t xml:space="preserve">. </w:t>
      </w:r>
      <w:r>
        <w:rPr>
          <w:i/>
        </w:rPr>
        <w:t>Tier A</w:t>
      </w:r>
      <w:r>
        <w:t xml:space="preserve"> generates the </w:t>
      </w:r>
      <w:r>
        <w:rPr>
          <w:rFonts w:ascii="Consolas" w:hAnsi="Consolas"/>
          <w:sz w:val="18"/>
        </w:rPr>
        <w:t>enum</w:t>
      </w:r>
      <w:r>
        <w:t xml:space="preserve"> domains of the narrator's tool-input fields from the deterministic evidence dictionary at call time, which constrains generation as far as a closed API allows. </w:t>
      </w:r>
      <w:r>
        <w:rPr>
          <w:i/>
        </w:rPr>
        <w:t>Tier B</w:t>
      </w:r>
      <w:r>
        <w:t xml:space="preserve"> takes over where trust ends. Plain code re-checks the returned answer on three channels: entity soundness; value soundness of structured </w:t>
      </w:r>
      <w:r>
        <w:rPr>
          <w:rFonts w:ascii="Consolas" w:hAnsi="Consolas"/>
          <w:sz w:val="18"/>
        </w:rPr>
        <w:t>{column, statistic, value}</w:t>
      </w:r>
      <w:r>
        <w:t xml:space="preserve"> claims, with a small tolerance so honest rounding passes; and completeness with respect to the top-ranked candidate. A violation triggers a corrective </w:t>
      </w:r>
      <w:r>
        <w:lastRenderedPageBreak/>
        <w:t xml:space="preserve">retry. When the retry budget runs out, unsound entities and claims are stripped and a persistent omission is flagged. What survives is a guarantee that owes nothing to the provider: </w:t>
      </w:r>
      <w:r>
        <w:rPr>
          <w:i/>
        </w:rPr>
        <w:t>every entity and every number in the validated citation and claim channels is present in, and equal to, the deterministic evidence</w:t>
      </w:r>
      <w:r>
        <w:t>. Free-text narration sits outside these channels, and renderers surface the validated fields as the actionable output. None of the checks is sophisticated, and that is the point: decidability makes simple checks sufficient (Sec. III-C) and lets the guarantee be absolute where decoding-time machinery cannot run at all.</w:t>
      </w:r>
    </w:p>
    <w:p w14:paraId="3D43E897" w14:textId="77777777" w:rsidR="006F3A31" w:rsidRDefault="00000000">
      <w:pPr>
        <w:spacing w:after="60"/>
      </w:pPr>
      <w:r>
        <w:t xml:space="preserve">The contract is not a prototype. It runs in the production narrator of </w:t>
      </w:r>
      <w:r>
        <w:rPr>
          <w:b/>
        </w:rPr>
        <w:t>mlcompass</w:t>
      </w:r>
      <w:r>
        <w:t>, an open-source (MIT) ML-pipeline assistant, guarding the investigation that fires when a metric looks too good to be true (e.g., R² &gt; 0.999), the classic signature of data leakage [17].</w:t>
      </w:r>
    </w:p>
    <w:p w14:paraId="713EB44E" w14:textId="77777777" w:rsidR="006F3A31" w:rsidRDefault="00000000">
      <w:pPr>
        <w:spacing w:after="60"/>
      </w:pPr>
      <w:r>
        <w:t>Three contributions:</w:t>
      </w:r>
    </w:p>
    <w:p w14:paraId="0D98112B" w14:textId="77777777" w:rsidR="006F3A31" w:rsidRDefault="00000000">
      <w:pPr>
        <w:spacing w:after="40"/>
        <w:ind w:left="360" w:hanging="216"/>
      </w:pPr>
      <w:r>
        <w:t xml:space="preserve">1. The </w:t>
      </w:r>
      <w:r>
        <w:rPr>
          <w:i/>
        </w:rPr>
        <w:t>evidence-closed</w:t>
      </w:r>
      <w:r>
        <w:t xml:space="preserve"> class of narration tasks, with the two formal facts the design rests on: faithfulness verification is linear-time (Prop. 1), and deletion repairs soundness safely while completeness admits no safe repair (Prop. 2). The second fact is the structural reason the contract strips unsound content but only flags omissions (Sec. III-C).</w:t>
      </w:r>
    </w:p>
    <w:p w14:paraId="1DD769C7" w14:textId="77777777" w:rsidR="006F3A31" w:rsidRDefault="00000000">
      <w:pPr>
        <w:spacing w:after="40"/>
        <w:ind w:left="360" w:hanging="216"/>
      </w:pPr>
      <w:r>
        <w:t>2. Live measurements of the shipped contract on a synthetic and a real-data leakage task (N = 200 per cell, Wilson 95% CIs). Bare narrators fabricate at 11.5% and 43.5%; the contract held the user-facing rate at 0/200 on all three channels of both tasks; in stress configurations the verifier caught 80 live violations and passed none through; and a pre-stated iid retry model was rejected in the informative direction, with one corrective message cutting repeat violations from 37.5% to 1.3% (Sec. IV).</w:t>
      </w:r>
    </w:p>
    <w:p w14:paraId="6C01B1E2" w14:textId="77777777" w:rsidR="006F3A31" w:rsidRDefault="00000000">
      <w:pPr>
        <w:spacing w:after="40"/>
        <w:ind w:left="360" w:hanging="216"/>
      </w:pPr>
      <w:r>
        <w:t>3. A six-way paraphrase sweep in which the bare narrator's fabrication rate on identical evidence moves from 1% to 100% under rule-free rewording. We read this as the empirical case that prompt-level defenses cannot be certified from observed compliance (Sec. IV-C).</w:t>
      </w:r>
    </w:p>
    <w:p w14:paraId="18122CF4" w14:textId="77777777" w:rsidR="006F3A31" w:rsidRDefault="00000000">
      <w:pPr>
        <w:spacing w:after="60"/>
      </w:pPr>
      <w:r>
        <w:t>Section II positions the contract against prior work, Section III describes the system and the formal observations, Section IV reports the measurements, Section V discusses what they show and where they stop, and Section VI concludes.</w:t>
      </w:r>
    </w:p>
    <w:p w14:paraId="0C535E3E" w14:textId="77777777" w:rsidR="006F3A31" w:rsidRDefault="00000000">
      <w:pPr>
        <w:spacing w:before="160" w:after="80"/>
        <w:ind w:firstLine="0"/>
        <w:jc w:val="center"/>
      </w:pPr>
      <w:r>
        <w:rPr>
          <w:b/>
        </w:rPr>
        <w:t>II. RELATED WORK</w:t>
      </w:r>
    </w:p>
    <w:p w14:paraId="75531C94" w14:textId="77777777" w:rsidR="006F3A31" w:rsidRDefault="00000000">
      <w:pPr>
        <w:spacing w:after="60"/>
      </w:pPr>
      <w:r>
        <w:rPr>
          <w:b/>
        </w:rPr>
        <w:t>Hallucination and faithfulness.</w:t>
      </w:r>
      <w:r>
        <w:t xml:space="preserve"> Ji </w:t>
      </w:r>
      <w:r>
        <w:rPr>
          <w:i/>
        </w:rPr>
        <w:t>et al.</w:t>
      </w:r>
      <w:r>
        <w:t xml:space="preserve"> [8] survey hallucination across generation tasks and separate intrinsic from extrinsic failures; Huang </w:t>
      </w:r>
      <w:r>
        <w:rPr>
          <w:i/>
        </w:rPr>
        <w:t>et al.</w:t>
      </w:r>
      <w:r>
        <w:t xml:space="preserve"> [9] give an LLM-specific taxonomy. Phantom-entity fabrication is extrinsic, but with structure the general problem lacks: the source is a finite, machine-enumerable dictionary, so the faithfulness check is decidable rather than open-world. We eliminate this decidable slice at the tool boundary and claim nothing beyond it.</w:t>
      </w:r>
    </w:p>
    <w:p w14:paraId="107C527A" w14:textId="77777777" w:rsidR="006F3A31" w:rsidRDefault="00000000">
      <w:pPr>
        <w:spacing w:after="60"/>
      </w:pPr>
      <w:r>
        <w:rPr>
          <w:b/>
        </w:rPr>
        <w:t>LLM agents and tool use.</w:t>
      </w:r>
      <w:r>
        <w:t xml:space="preserve"> ReAct [5] interleaves reasoning with tool calls, Toolformer [6] teaches a model when and how to call, and tool-integration standards [7] make third-party tools discoverable over one protocol. All of this governs how an agent </w:t>
      </w:r>
      <w:r>
        <w:rPr>
          <w:i/>
        </w:rPr>
        <w:t>acts</w:t>
      </w:r>
      <w:r>
        <w:t xml:space="preserve">. None of it constrains what the agent may afterwards </w:t>
      </w:r>
      <w:r>
        <w:rPr>
          <w:i/>
        </w:rPr>
        <w:t>say</w:t>
      </w:r>
      <w:r>
        <w:t xml:space="preserve"> about a tool's output. The contract lives at exactly that unspecified boundary.</w:t>
      </w:r>
    </w:p>
    <w:p w14:paraId="0C74DDC7" w14:textId="77777777" w:rsidR="006F3A31" w:rsidRDefault="00000000">
      <w:pPr>
        <w:spacing w:after="60"/>
      </w:pPr>
      <w:r>
        <w:rPr>
          <w:b/>
        </w:rPr>
        <w:t>Constrained and structured generation (closest prior art).</w:t>
      </w:r>
      <w:r>
        <w:t xml:space="preserve"> Outlines [12] casts guided decoding as a finite-state machine. LMQL [13] adds declarative constraints over a typed grammar. Grammar-constrained decoding [14] guarantees grammatical validity without fine-tuning, input-dependent grammars included. Guidance [15] pushes JSON-schema and regex constraints down to the token level, and provider APIs validate tool calls against a declared schema [16]. We do not claim that varying a constraint with the input is new; [14] already does it. The differences are in what the constraint is bound to and in who enforces it. Here the value domain comes from a deterministic evidence producer, so the constraint tracks ground-truth observations rather than task structure. And enforcement never leaves our own code: deterministic post-verification keeps the guarantee intact even if the provider admits an out-of-enum token, which matters because decoding-time enforcement is simply unavailable behind commercial APIs. To our knowledge, no prior work packages evidence-bound domains, claim-level value checks, completeness checking, and provider-independent enforcement as a single contract over a decidable faithfulness class. The closest practical relatives are the validate-and-reask toolkits Guardrails AI [18] and NeMo Guardrails [19], which ship the same outer loop as general-purpose infrastructure. Tier B shares the loop's shape; the validator inside differs: decidable faithfulness against a deterministic evidence producer, with the strip-vs-flag semantics Prop. 2 shows is forced, not user-authored heuristic checks.</w:t>
      </w:r>
    </w:p>
    <w:p w14:paraId="7A6CCB65" w14:textId="77777777" w:rsidR="006F3A31" w:rsidRDefault="00000000">
      <w:pPr>
        <w:spacing w:after="60"/>
      </w:pPr>
      <w:r>
        <w:rPr>
          <w:b/>
        </w:rPr>
        <w:t>Code assistants and their reliability.</w:t>
      </w:r>
      <w:r>
        <w:t xml:space="preserve"> Foundation models trained on code [10] power widely used assistants that still resolve only a fraction of real-world issues [11]; in our own informal trials they also accepted semantically invalid training configurations without comment. A pipeline assistant has to be right about one concrete artifact, and right without fabricating.</w:t>
      </w:r>
    </w:p>
    <w:p w14:paraId="3AC3D30F" w14:textId="77777777" w:rsidR="006F3A31" w:rsidRDefault="00000000">
      <w:pPr>
        <w:spacing w:after="60"/>
      </w:pPr>
      <w:r>
        <w:rPr>
          <w:b/>
        </w:rPr>
        <w:t>ML pipeline tooling.</w:t>
      </w:r>
      <w:r>
        <w:t xml:space="preserve"> Profiling libraries [1] do not know what a target column is. Experiment trackers [2], [3] record metrics without interpreting them. Automated model search [4] picks estimators without saying why. mlcompass layers a state-carrying advisory surface over the same artifacts; what this paper contributes is the reliability contract on that surface, not the tool surface itself.</w:t>
      </w:r>
    </w:p>
    <w:p w14:paraId="0584B98C" w14:textId="77777777" w:rsidR="006F3A31" w:rsidRDefault="00000000">
      <w:pPr>
        <w:spacing w:before="160" w:after="80"/>
        <w:ind w:firstLine="0"/>
        <w:jc w:val="center"/>
      </w:pPr>
      <w:r>
        <w:rPr>
          <w:b/>
        </w:rPr>
        <w:t>III. METHODOLOGY</w:t>
      </w:r>
    </w:p>
    <w:p w14:paraId="4FCEF431" w14:textId="77777777" w:rsidR="006F3A31" w:rsidRDefault="00000000">
      <w:pPr>
        <w:spacing w:before="120" w:after="40"/>
        <w:ind w:firstLine="0"/>
        <w:jc w:val="left"/>
      </w:pPr>
      <w:r>
        <w:rPr>
          <w:b/>
          <w:i/>
        </w:rPr>
        <w:t>A. Threat Model</w:t>
      </w:r>
    </w:p>
    <w:p w14:paraId="517AEED1" w14:textId="77777777" w:rsidR="006F3A31" w:rsidRDefault="00000000">
      <w:pPr>
        <w:spacing w:after="60"/>
      </w:pPr>
      <w:r>
        <w:t xml:space="preserve">The setting assumes an honest operator and a well-behaved provider: no poisoned weights, no malicious user. The risk we address is the model's own tendency to fabricate </w:t>
      </w:r>
      <w:r>
        <w:lastRenderedPageBreak/>
        <w:t>or misreport entities and quantities under output-distribution pressure. Three things are explicitly out of scope: (i) adversarial column names planted in user data as prompt injection; (ii) provider outages; (iii) miscalibrated confidence on evidence that is cited and valued correctly. Residual risks are collected in Sec. V-E.</w:t>
      </w:r>
    </w:p>
    <w:p w14:paraId="74289ACB" w14:textId="77777777" w:rsidR="006F3A31" w:rsidRDefault="00000000">
      <w:pPr>
        <w:spacing w:before="120" w:after="40"/>
        <w:ind w:firstLine="0"/>
        <w:jc w:val="left"/>
      </w:pPr>
      <w:r>
        <w:rPr>
          <w:b/>
          <w:i/>
        </w:rPr>
        <w:t>B. Architecture and the Trust Boundary</w:t>
      </w:r>
    </w:p>
    <w:p w14:paraId="54C759E7" w14:textId="77777777" w:rsidR="006F3A31" w:rsidRDefault="00000000">
      <w:pPr>
        <w:spacing w:after="60"/>
      </w:pPr>
      <w:r>
        <w:t xml:space="preserve">Fig. 1 draws the system the way the contract sees it. A dashed trust boundary splits the picture in two. On one side is everything deterministic: the pure-Python evidence producer, the evidence dictionary </w:t>
      </w:r>
      <w:r>
        <w:rPr>
          <w:i/>
        </w:rPr>
        <w:t>E</w:t>
      </w:r>
      <w:r>
        <w:t xml:space="preserve">, the Tier B verifier, and the user-facing output, all plain code. On the other side is the </w:t>
      </w:r>
      <w:r>
        <w:rPr>
          <w:i/>
        </w:rPr>
        <w:t>LLM narrator</w:t>
      </w:r>
      <w:r>
        <w:t xml:space="preserve">, which we treat as untrusted no matter who serves it. Every arrow crossing the boundary is contract traffic. Outbound, Tier A binds the tool-schema enums to </w:t>
      </w:r>
      <w:r>
        <w:rPr>
          <w:i/>
        </w:rPr>
        <w:t>E</w:t>
      </w:r>
      <w:r>
        <w:t xml:space="preserve"> at call time. Inbound, the narrator's </w:t>
      </w:r>
      <w:r>
        <w:rPr>
          <w:rFonts w:ascii="Consolas" w:hAnsi="Consolas"/>
          <w:sz w:val="18"/>
        </w:rPr>
        <w:t>submit_investigation</w:t>
      </w:r>
      <w:r>
        <w:t xml:space="preserve"> payload enters only through Tier B verification, and on a violation the corrective retry crosses back with the offending items named. Nothing crosses unchecked. Inside mlcompass the boundary sits within a larger system: eleven pipeline tools behind a CLI, a tool-integration server [7], an autonomous agent, and editor slash commands, all over a persistent project-context folder. Every one of those surfaces routes through the same deterministic backend, so the guarded path is the only path from narrator to user. And since the evidence layer is deterministic and offline, every command works with the narrator absent; the narrator only adds explanation, and the contract makes that explanation safe to act on.</w:t>
      </w:r>
    </w:p>
    <w:p w14:paraId="7ED0CC01" w14:textId="77777777" w:rsidR="006F3A31" w:rsidRDefault="00000000">
      <w:pPr>
        <w:spacing w:before="120"/>
        <w:jc w:val="center"/>
      </w:pPr>
      <w:r>
        <w:rPr>
          <w:noProof/>
        </w:rPr>
        <w:drawing>
          <wp:inline distT="0" distB="0" distL="0" distR="0" wp14:anchorId="33499EF9" wp14:editId="2A64874E">
            <wp:extent cx="3017520" cy="1647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boundary.png"/>
                    <pic:cNvPicPr/>
                  </pic:nvPicPr>
                  <pic:blipFill>
                    <a:blip r:embed="rId6"/>
                    <a:stretch>
                      <a:fillRect/>
                    </a:stretch>
                  </pic:blipFill>
                  <pic:spPr>
                    <a:xfrm>
                      <a:off x="0" y="0"/>
                      <a:ext cx="3017520" cy="1647259"/>
                    </a:xfrm>
                    <a:prstGeom prst="rect">
                      <a:avLst/>
                    </a:prstGeom>
                  </pic:spPr>
                </pic:pic>
              </a:graphicData>
            </a:graphic>
          </wp:inline>
        </w:drawing>
      </w:r>
    </w:p>
    <w:p w14:paraId="2B2F4171" w14:textId="77777777" w:rsidR="006F3A31" w:rsidRDefault="00000000">
      <w:pPr>
        <w:spacing w:before="40" w:after="120"/>
        <w:ind w:firstLine="0"/>
      </w:pPr>
      <w:r>
        <w:rPr>
          <w:sz w:val="18"/>
        </w:rPr>
        <w:t>Fig. 1. The evidence-bound contract. The dashed line is the trust boundary: plain code on the deterministic side (trusted), the LLM narrator on the other (untrusted). The deterministic layer emits the evidence dictionary E; Tier A binds the tool-schema enums to E at call time; Tier B verifies entity soundness, claim values, and completeness, with corrective retry, residual stripping, and omission flagging. Only validated citations and verified claims reach the user.</w:t>
      </w:r>
    </w:p>
    <w:p w14:paraId="4EEE6849" w14:textId="77777777" w:rsidR="006F3A31" w:rsidRDefault="00000000">
      <w:pPr>
        <w:spacing w:before="120" w:after="40"/>
        <w:ind w:firstLine="0"/>
        <w:jc w:val="left"/>
      </w:pPr>
      <w:r>
        <w:rPr>
          <w:b/>
          <w:i/>
        </w:rPr>
        <w:t>C. The Evidence-Bound Contract</w:t>
      </w:r>
    </w:p>
    <w:p w14:paraId="2B23A95D" w14:textId="77777777" w:rsidR="006F3A31" w:rsidRDefault="00000000">
      <w:pPr>
        <w:spacing w:after="60"/>
      </w:pPr>
      <w:r>
        <w:t xml:space="preserve">We walk through the contract as it runs in the automatic leakage investigation [17], which fires when an evaluation sees a metric that should not happen (AUC &gt; 0.995, accuracy &gt; 0.99, or R² &gt; 0.999). The task is evidence-closed by construction: the citable world is exactly the evidence dictionary </w:t>
      </w:r>
      <w:r>
        <w:rPr>
          <w:i/>
        </w:rPr>
        <w:t>E</w:t>
      </w:r>
      <w:r>
        <w:t>.</w:t>
      </w:r>
    </w:p>
    <w:p w14:paraId="12251D65" w14:textId="77777777" w:rsidR="006F3A31" w:rsidRDefault="00000000">
      <w:pPr>
        <w:spacing w:after="60"/>
      </w:pPr>
      <w:r>
        <w:rPr>
          <w:b/>
        </w:rPr>
        <w:t>Layer 1: Deterministic evidence producer.</w:t>
      </w:r>
      <w:r>
        <w:t xml:space="preserve"> A pure-Python module reads the predictions table and assembles </w:t>
      </w:r>
      <w:r>
        <w:rPr>
          <w:i/>
        </w:rPr>
        <w:t>E</w:t>
      </w:r>
      <w:r>
        <w:t xml:space="preserve">: the suspicious metric; per-feature correlations against the target </w:t>
      </w:r>
      <w:r>
        <w:rPr>
          <w:i/>
        </w:rPr>
        <w:t>y</w:t>
      </w:r>
      <w:r>
        <w:t xml:space="preserve">, reported as max(|ρ_P|, |ρ_S|); a ranked candidate-leak set </w:t>
      </w:r>
      <w:r>
        <w:rPr>
          <w:i/>
        </w:rPr>
        <w:t>C</w:t>
      </w:r>
      <w:r>
        <w:t xml:space="preserve"> = { </w:t>
      </w:r>
      <w:r>
        <w:rPr>
          <w:i/>
        </w:rPr>
        <w:t>c</w:t>
      </w:r>
      <w:r>
        <w:t xml:space="preserve"> : max(|ρ_P(c, y)|, |ρ_S(c, y)|) ≥ 0.99 }; and the perfect-match rate P(ŷ = y). Reporting Spearman next to Pearson is deliberate. Monotone target transforms (log y, √y, αy + β) pull ρ_P down while ρ_S stays at 1.0, so a log-target leak sitting at ρ_P ≈ 0.94 would slide under a Pearson-only filter.</w:t>
      </w:r>
    </w:p>
    <w:p w14:paraId="34E55F8B" w14:textId="77777777" w:rsidR="006F3A31" w:rsidRDefault="00000000">
      <w:pPr>
        <w:spacing w:after="60"/>
      </w:pPr>
      <w:r>
        <w:rPr>
          <w:b/>
        </w:rPr>
        <w:t>Layer 2: Strict-prompted narrator.</w:t>
      </w:r>
      <w:r>
        <w:t xml:space="preserve"> The narrator receives </w:t>
      </w:r>
      <w:r>
        <w:rPr>
          <w:i/>
        </w:rPr>
        <w:t>E</w:t>
      </w:r>
      <w:r>
        <w:t xml:space="preserve"> along with a system prompt that states the rules in words: cite only items that appear in </w:t>
      </w:r>
      <w:r>
        <w:rPr>
          <w:i/>
        </w:rPr>
        <w:t>E</w:t>
      </w:r>
      <w:r>
        <w:t xml:space="preserve">; report every correlation number as a structured claim copied exactly from </w:t>
      </w:r>
      <w:r>
        <w:rPr>
          <w:i/>
        </w:rPr>
        <w:t>E</w:t>
      </w:r>
      <w:r>
        <w:t>; address the top-ranked candidate before committing to a verdict; abstain (</w:t>
      </w:r>
      <w:r>
        <w:rPr>
          <w:rFonts w:ascii="Consolas" w:hAnsi="Consolas"/>
          <w:sz w:val="18"/>
        </w:rPr>
        <w:t>cannot_determine</w:t>
      </w:r>
      <w:r>
        <w:t>) instead of guessing.</w:t>
      </w:r>
    </w:p>
    <w:p w14:paraId="5E8F25A5" w14:textId="77777777" w:rsidR="006F3A31" w:rsidRDefault="00000000">
      <w:pPr>
        <w:spacing w:after="60"/>
      </w:pPr>
      <w:r>
        <w:rPr>
          <w:b/>
        </w:rPr>
        <w:t>Layer 3: Evidence-bound runtime schema (two tiers).</w:t>
      </w:r>
      <w:r>
        <w:t xml:space="preserve"> Answers arrive through a </w:t>
      </w:r>
      <w:r>
        <w:rPr>
          <w:rFonts w:ascii="Consolas" w:hAnsi="Consolas"/>
          <w:sz w:val="18"/>
        </w:rPr>
        <w:t>submit_investigation</w:t>
      </w:r>
      <w:r>
        <w:t xml:space="preserve"> tool. </w:t>
      </w:r>
      <w:r>
        <w:rPr>
          <w:i/>
        </w:rPr>
        <w:t>Tier A:</w:t>
      </w:r>
      <w:r>
        <w:t xml:space="preserve"> the tool's </w:t>
      </w:r>
      <w:r>
        <w:rPr>
          <w:rFonts w:ascii="Consolas" w:hAnsi="Consolas"/>
          <w:sz w:val="18"/>
        </w:rPr>
        <w:t>columns_referenced</w:t>
      </w:r>
      <w:r>
        <w:t xml:space="preserve"> items and </w:t>
      </w:r>
      <w:r>
        <w:rPr>
          <w:rFonts w:ascii="Consolas" w:hAnsi="Consolas"/>
          <w:sz w:val="18"/>
        </w:rPr>
        <w:t>claims[].column</w:t>
      </w:r>
      <w:r>
        <w:t xml:space="preserve"> field are restricted by JSON-schema </w:t>
      </w:r>
      <w:r>
        <w:rPr>
          <w:rFonts w:ascii="Consolas" w:hAnsi="Consolas"/>
          <w:sz w:val="18"/>
        </w:rPr>
        <w:t>enum</w:t>
      </w:r>
      <w:r>
        <w:t xml:space="preserve">s built at call time from </w:t>
      </w:r>
      <w:r>
        <w:rPr>
          <w:i/>
        </w:rPr>
        <w:t>E</w:t>
      </w:r>
      <w:r>
        <w:t xml:space="preserve">. </w:t>
      </w:r>
      <w:r>
        <w:rPr>
          <w:i/>
        </w:rPr>
        <w:t>Tier B:</w:t>
      </w:r>
      <w:r>
        <w:t xml:space="preserve"> when the tool input comes back, plain code re-checks it without trusting anyone. (1) </w:t>
      </w:r>
      <w:r>
        <w:rPr>
          <w:b/>
        </w:rPr>
        <w:t>Entity soundness</w:t>
      </w:r>
      <w:r>
        <w:t xml:space="preserve">: every column cited or claimed must be in the evidence set. (2) </w:t>
      </w:r>
      <w:r>
        <w:rPr>
          <w:b/>
        </w:rPr>
        <w:t>Value soundness</w:t>
      </w:r>
      <w:r>
        <w:t xml:space="preserve">: each claim </w:t>
      </w:r>
      <w:r>
        <w:rPr>
          <w:rFonts w:ascii="Consolas" w:hAnsi="Consolas"/>
          <w:sz w:val="18"/>
        </w:rPr>
        <w:t>{column, statistic, value}</w:t>
      </w:r>
      <w:r>
        <w:t xml:space="preserve"> must match the measured value within 0.005, so two-decimal rounding passes and a misquote fails. (3) </w:t>
      </w:r>
      <w:r>
        <w:rPr>
          <w:b/>
        </w:rPr>
        <w:t>Completeness</w:t>
      </w:r>
      <w:r>
        <w:t xml:space="preserve">: a verdict other than </w:t>
      </w:r>
      <w:r>
        <w:rPr>
          <w:rFonts w:ascii="Consolas" w:hAnsi="Consolas"/>
          <w:sz w:val="18"/>
        </w:rPr>
        <w:t>cannot_determine</w:t>
      </w:r>
      <w:r>
        <w:t xml:space="preserve"> must address the top-ranked candidate, where an explicit abstention is not an omission. A failed check earns the narrator a corrective retry that names the offending items (budget 2). Whatever is still unsound afterwards is </w:t>
      </w:r>
      <w:r>
        <w:rPr>
          <w:i/>
        </w:rPr>
        <w:t>stripped</w:t>
      </w:r>
      <w:r>
        <w:t xml:space="preserve">, a persistent omission is </w:t>
      </w:r>
      <w:r>
        <w:rPr>
          <w:i/>
        </w:rPr>
        <w:t>flagged</w:t>
      </w:r>
      <w:r>
        <w:t>, and completeness is re-checked after stripping, because deleting an unsound claim can itself orphan the anchor.</w:t>
      </w:r>
    </w:p>
    <w:p w14:paraId="34A41617" w14:textId="77777777" w:rsidR="006F3A31" w:rsidRDefault="00000000">
      <w:pPr>
        <w:spacing w:after="60"/>
      </w:pPr>
      <w:r>
        <w:t>Strip for one property, flag for the other: the asymmetry looks like a preference and is not. It is forced, and we record why in two propositions. Neither is deep. Both carry weight in the design.</w:t>
      </w:r>
    </w:p>
    <w:p w14:paraId="15F04075" w14:textId="77777777" w:rsidR="006F3A31" w:rsidRDefault="00000000">
      <w:pPr>
        <w:spacing w:before="80" w:after="80"/>
        <w:ind w:left="173" w:right="72" w:firstLine="0"/>
      </w:pPr>
      <w:r>
        <w:rPr>
          <w:b/>
        </w:rPr>
        <w:t>Proposition 1 (linear-time verification).</w:t>
      </w:r>
      <w:r>
        <w:t xml:space="preserve"> </w:t>
      </w:r>
      <w:r>
        <w:rPr>
          <w:i/>
        </w:rPr>
        <w:t>Let E define a finite entity set A_E (|A_E| = m) and a claim table V_E. Deciding faithfulness of a structured response r (entity membership, value tolerance, anchor coverage) takes O(|r|) expected time after O(m) preprocessing.</w:t>
      </w:r>
      <w:r>
        <w:t xml:space="preserve"> </w:t>
      </w:r>
      <w:r>
        <w:rPr>
          <w:b/>
        </w:rPr>
        <w:t>Proof.</w:t>
      </w:r>
      <w:r>
        <w:t xml:space="preserve"> Hash A_E and V_E once; entity soundness is |r| membership tests, value soundness one lookup and one comparison per claim, completeness one membership test. ∎</w:t>
      </w:r>
    </w:p>
    <w:p w14:paraId="3CE582A6" w14:textId="77777777" w:rsidR="006F3A31" w:rsidRDefault="00000000">
      <w:pPr>
        <w:spacing w:before="80" w:after="80"/>
        <w:ind w:left="173" w:right="72" w:firstLine="0"/>
      </w:pPr>
      <w:r>
        <w:rPr>
          <w:b/>
        </w:rPr>
        <w:t>Proposition 2 (repair asymmetry).</w:t>
      </w:r>
      <w:r>
        <w:t xml:space="preserve"> </w:t>
      </w:r>
      <w:r>
        <w:rPr>
          <w:i/>
        </w:rPr>
        <w:t>Call a repair</w:t>
      </w:r>
      <w:r>
        <w:t xml:space="preserve"> safe </w:t>
      </w:r>
      <w:r>
        <w:rPr>
          <w:i/>
        </w:rPr>
        <w:t xml:space="preserve">if it only deletes content: deletion never attributes new content to the narrator. Soundness is safe-repairable: the projection Π_E(r) that deletes out-of-evidence entities and out-of-tolerance claims lands in the sound set for every r and is the identity on sound responses. Completeness is not safe-repairable: it is an existential requirement, and any repair must add a reference the </w:t>
      </w:r>
      <w:r>
        <w:rPr>
          <w:i/>
        </w:rPr>
        <w:lastRenderedPageBreak/>
        <w:t>model did not produce; the repair itself would fabricate attribution. Deleting the committed verdict is no escape: the schema requires a verdict field, and substituting an abstention attributes an epistemic stance the model did not take, which is likewise unsafe.</w:t>
      </w:r>
      <w:r>
        <w:t xml:space="preserve"> </w:t>
      </w:r>
      <w:r>
        <w:rPr>
          <w:b/>
        </w:rPr>
        <w:t>Consequence.</w:t>
      </w:r>
      <w:r>
        <w:t xml:space="preserve"> A contract can </w:t>
      </w:r>
      <w:r>
        <w:rPr>
          <w:i/>
        </w:rPr>
        <w:t>enforce</w:t>
      </w:r>
      <w:r>
        <w:t xml:space="preserve"> soundness by construction (strip) but can only </w:t>
      </w:r>
      <w:r>
        <w:rPr>
          <w:i/>
        </w:rPr>
        <w:t>detect, re-prompt, and flag</w:t>
      </w:r>
      <w:r>
        <w:t xml:space="preserve"> incompleteness. ∎</w:t>
      </w:r>
    </w:p>
    <w:p w14:paraId="4BD1F258" w14:textId="77777777" w:rsidR="006F3A31" w:rsidRDefault="00000000">
      <w:pPr>
        <w:spacing w:after="60"/>
      </w:pPr>
      <w:r>
        <w:t xml:space="preserve">The invariant that results is easy to state: </w:t>
      </w:r>
      <w:r>
        <w:rPr>
          <w:i/>
        </w:rPr>
        <w:t>any response the contract returns cites only entities present in the deterministic evidence and quotes only values equal to it, by construction, whoever the provider is.</w:t>
      </w:r>
      <w:r>
        <w:t xml:space="preserve"> Membership, comparison, anchor. The checks are almost embarrassingly small, and that smallness is what decidability buys; it is why the guarantee can be absolute in a setting where decoding-time methods [12], [14] cannot even be attached.</w:t>
      </w:r>
    </w:p>
    <w:p w14:paraId="504B0437" w14:textId="77777777" w:rsidR="006F3A31" w:rsidRDefault="00000000">
      <w:pPr>
        <w:spacing w:before="160" w:after="80"/>
        <w:ind w:firstLine="0"/>
        <w:jc w:val="center"/>
      </w:pPr>
      <w:r>
        <w:rPr>
          <w:b/>
        </w:rPr>
        <w:t>IV. EXPERIMENTS</w:t>
      </w:r>
    </w:p>
    <w:p w14:paraId="68EDA18C" w14:textId="77777777" w:rsidR="006F3A31" w:rsidRDefault="00000000">
      <w:pPr>
        <w:spacing w:before="120" w:after="40"/>
        <w:ind w:firstLine="0"/>
        <w:jc w:val="left"/>
      </w:pPr>
      <w:r>
        <w:rPr>
          <w:b/>
          <w:i/>
        </w:rPr>
        <w:t>A. Setup</w:t>
      </w:r>
    </w:p>
    <w:p w14:paraId="7F5B6374" w14:textId="77777777" w:rsidR="006F3A31" w:rsidRDefault="00000000">
      <w:pPr>
        <w:spacing w:after="60"/>
      </w:pPr>
      <w:r>
        <w:rPr>
          <w:b/>
        </w:rPr>
        <w:t>Tasks.</w:t>
      </w:r>
      <w:r>
        <w:t xml:space="preserve"> Two. The </w:t>
      </w:r>
      <w:r>
        <w:rPr>
          <w:i/>
        </w:rPr>
        <w:t>synthetic</w:t>
      </w:r>
      <w:r>
        <w:t xml:space="preserve"> task is a 1,000 × 12 regression frame carrying a monotone transformed leak (</w:t>
      </w:r>
      <w:r>
        <w:rPr>
          <w:rFonts w:ascii="Consolas" w:hAnsi="Consolas"/>
          <w:sz w:val="18"/>
        </w:rPr>
        <w:t>log_target_v2 = log(y) + 𝒩(0, 0.01²)</w:t>
      </w:r>
      <w:r>
        <w:t xml:space="preserve">) and a high-correlation distractor; 10 evidence columns, anchor </w:t>
      </w:r>
      <w:r>
        <w:rPr>
          <w:rFonts w:ascii="Consolas" w:hAnsi="Consolas"/>
          <w:sz w:val="18"/>
        </w:rPr>
        <w:t>log_target_v2</w:t>
      </w:r>
      <w:r>
        <w:t xml:space="preserve">. The </w:t>
      </w:r>
      <w:r>
        <w:rPr>
          <w:i/>
        </w:rPr>
        <w:t>real-data</w:t>
      </w:r>
      <w:r>
        <w:t xml:space="preserve"> task starts from the public Insurance Charges dataset, injects a log-of-target leak, and trains to near-perfect predictions; column names, distributions, and shape are external; 7 evidence columns, anchor </w:t>
      </w:r>
      <w:r>
        <w:rPr>
          <w:rFonts w:ascii="Consolas" w:hAnsi="Consolas"/>
          <w:sz w:val="18"/>
        </w:rPr>
        <w:t>log_charges_leak</w:t>
      </w:r>
      <w:r>
        <w:t xml:space="preserve">. In both, a model essentially copies the leak and the </w:t>
      </w:r>
      <w:r>
        <w:rPr>
          <w:i/>
        </w:rPr>
        <w:t>shipped</w:t>
      </w:r>
      <w:r>
        <w:t xml:space="preserve"> </w:t>
      </w:r>
      <w:r>
        <w:rPr>
          <w:rFonts w:ascii="Consolas" w:hAnsi="Consolas"/>
          <w:sz w:val="18"/>
        </w:rPr>
        <w:t>detect_leakage</w:t>
      </w:r>
      <w:r>
        <w:t xml:space="preserve"> produces </w:t>
      </w:r>
      <w:r>
        <w:rPr>
          <w:i/>
        </w:rPr>
        <w:t>E</w:t>
      </w:r>
      <w:r>
        <w:t>, so the narrator sees exactly the evidence shape the product produces in the field.</w:t>
      </w:r>
    </w:p>
    <w:p w14:paraId="7003530C" w14:textId="77777777" w:rsidR="006F3A31" w:rsidRDefault="00000000">
      <w:pPr>
        <w:spacing w:after="60"/>
      </w:pPr>
      <w:r>
        <w:rPr>
          <w:b/>
        </w:rPr>
        <w:t>Configurations (per task, N = 200 each).</w:t>
      </w:r>
      <w:r>
        <w:t xml:space="preserve"> </w:t>
      </w:r>
      <w:r>
        <w:rPr>
          <w:i/>
        </w:rPr>
        <w:t>L1</w:t>
      </w:r>
      <w:r>
        <w:t xml:space="preserve"> is the floor: a bare prompt that requests the structured fields and states no faithfulness rule, an open tool schema, no verification. </w:t>
      </w:r>
      <w:r>
        <w:rPr>
          <w:i/>
        </w:rPr>
        <w:t>L2</w:t>
      </w:r>
      <w:r>
        <w:t xml:space="preserve"> adds the strict prompt, still unenforced. </w:t>
      </w:r>
      <w:r>
        <w:rPr>
          <w:i/>
        </w:rPr>
        <w:t>L3</w:t>
      </w:r>
      <w:r>
        <w:t xml:space="preserve"> is the full shipped contract (</w:t>
      </w:r>
      <w:r>
        <w:rPr>
          <w:rFonts w:ascii="Consolas" w:hAnsi="Consolas"/>
          <w:sz w:val="18"/>
        </w:rPr>
        <w:t>investigate_leakage_bound</w:t>
      </w:r>
      <w:r>
        <w:t xml:space="preserve">). </w:t>
      </w:r>
      <w:r>
        <w:rPr>
          <w:i/>
        </w:rPr>
        <w:t>STRESS</w:t>
      </w:r>
      <w:r>
        <w:t xml:space="preserve"> is the shipped contract with the bare prompt and the Tier A enums removed, so the narrator fabricates at its natural rate and every Tier B catch becomes observable. All runs use DeepSeek's </w:t>
      </w:r>
      <w:r>
        <w:rPr>
          <w:rFonts w:ascii="Consolas" w:hAnsi="Consolas"/>
          <w:sz w:val="18"/>
        </w:rPr>
        <w:t>deepseek-chat</w:t>
      </w:r>
      <w:r>
        <w:t xml:space="preserve"> endpoint (OpenAI-compatible JSON-schema tool use, provider-default sampling; the name is a rolling alias, so run dates and the harness commit pin the configuration). The provider does not document decode-time enum enforcement and Tier B does not rely on it; two diagnostic arms separate the tiers' contributions (Sec. IV-C).</w:t>
      </w:r>
    </w:p>
    <w:p w14:paraId="4A95E194" w14:textId="77777777" w:rsidR="006F3A31" w:rsidRDefault="00000000">
      <w:pPr>
        <w:spacing w:after="60"/>
      </w:pPr>
      <w:r>
        <w:rPr>
          <w:b/>
        </w:rPr>
        <w:t>Paraphrase sweep.</w:t>
      </w:r>
      <w:r>
        <w:t xml:space="preserve"> The bare instruction rewritten six ways (terse, baseline, helpful, expert, mechanical, cautious), none containing a faithfulness rule, N = 100 per variant, same evidence and tool schema. Only the wording moves.</w:t>
      </w:r>
    </w:p>
    <w:p w14:paraId="72FBCC18" w14:textId="77777777" w:rsidR="006F3A31" w:rsidRDefault="00000000">
      <w:pPr>
        <w:spacing w:before="120" w:after="40"/>
        <w:ind w:firstLine="0"/>
        <w:jc w:val="left"/>
      </w:pPr>
      <w:r>
        <w:rPr>
          <w:b/>
          <w:i/>
        </w:rPr>
        <w:t>B. Metrics</w:t>
      </w:r>
    </w:p>
    <w:p w14:paraId="40D1B30C" w14:textId="77777777" w:rsidR="006F3A31" w:rsidRDefault="00000000">
      <w:pPr>
        <w:spacing w:after="60"/>
      </w:pPr>
      <w:r>
        <w:t xml:space="preserve">Three failure channels, scored on every response that reaches the user. </w:t>
      </w:r>
      <w:r>
        <w:rPr>
          <w:b/>
        </w:rPr>
        <w:t>Entity-fabrication</w:t>
      </w:r>
      <w:r>
        <w:t xml:space="preserve">: at least one column, cited or claimed, outside </w:t>
      </w:r>
      <w:r>
        <w:rPr>
          <w:i/>
        </w:rPr>
        <w:t>E</w:t>
      </w:r>
      <w:r>
        <w:t xml:space="preserve">. </w:t>
      </w:r>
      <w:r>
        <w:rPr>
          <w:b/>
        </w:rPr>
        <w:t>Value-fabrication</w:t>
      </w:r>
      <w:r>
        <w:t xml:space="preserve">: at least one claim whose column is in </w:t>
      </w:r>
      <w:r>
        <w:rPr>
          <w:i/>
        </w:rPr>
        <w:t>E</w:t>
      </w:r>
      <w:r>
        <w:t xml:space="preserve"> but whose value is off by more </w:t>
      </w:r>
      <w:r>
        <w:t xml:space="preserve">than 0.005. </w:t>
      </w:r>
      <w:r>
        <w:rPr>
          <w:b/>
        </w:rPr>
        <w:t>Critical omission</w:t>
      </w:r>
      <w:r>
        <w:t xml:space="preserve">: a committed verdict that never references the anchor. Wilson 95% CIs and raw k/N throughout. For contract arms we also count </w:t>
      </w:r>
      <w:r>
        <w:rPr>
          <w:b/>
        </w:rPr>
        <w:t>Tier B catches</w:t>
      </w:r>
      <w:r>
        <w:t>: responses with at least one deterministic rejection, plus total rejections.</w:t>
      </w:r>
    </w:p>
    <w:p w14:paraId="47CEB6CA" w14:textId="77777777" w:rsidR="006F3A31" w:rsidRDefault="00000000">
      <w:pPr>
        <w:spacing w:before="120" w:after="40"/>
        <w:ind w:firstLine="0"/>
        <w:jc w:val="left"/>
      </w:pPr>
      <w:r>
        <w:rPr>
          <w:b/>
          <w:i/>
        </w:rPr>
        <w:t>C. Results</w:t>
      </w:r>
    </w:p>
    <w:p w14:paraId="60473EA5" w14:textId="77777777" w:rsidR="006F3A31" w:rsidRDefault="00000000">
      <w:pPr>
        <w:spacing w:before="120" w:after="60"/>
        <w:ind w:firstLine="0"/>
        <w:jc w:val="center"/>
      </w:pPr>
      <w:r>
        <w:rPr>
          <w:sz w:val="18"/>
        </w:rPr>
        <w:t>TABLE I. USER-FACING ENTITY-FABRICATION RATE (LIVE, N = 200 PER CELL, WILSON 95% CI IN TEXT)</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34"/>
        <w:gridCol w:w="1558"/>
        <w:gridCol w:w="1684"/>
      </w:tblGrid>
      <w:tr w:rsidR="006F3A31" w14:paraId="7DAF3551" w14:textId="77777777">
        <w:trPr>
          <w:jc w:val="center"/>
        </w:trPr>
        <w:tc>
          <w:tcPr>
            <w:tcW w:w="3360" w:type="dxa"/>
            <w:tcBorders>
              <w:bottom w:val="single" w:sz="6" w:space="0" w:color="000000"/>
            </w:tcBorders>
            <w:vAlign w:val="center"/>
          </w:tcPr>
          <w:p w14:paraId="283B22EC" w14:textId="77777777" w:rsidR="006F3A31" w:rsidRDefault="00000000">
            <w:pPr>
              <w:ind w:firstLine="0"/>
              <w:jc w:val="left"/>
            </w:pPr>
            <w:r>
              <w:rPr>
                <w:b/>
                <w:sz w:val="18"/>
              </w:rPr>
              <w:t>Configuration</w:t>
            </w:r>
          </w:p>
        </w:tc>
        <w:tc>
          <w:tcPr>
            <w:tcW w:w="3360" w:type="dxa"/>
            <w:tcBorders>
              <w:bottom w:val="single" w:sz="6" w:space="0" w:color="000000"/>
            </w:tcBorders>
            <w:vAlign w:val="center"/>
          </w:tcPr>
          <w:p w14:paraId="7FB78F8C" w14:textId="77777777" w:rsidR="006F3A31" w:rsidRDefault="00000000">
            <w:pPr>
              <w:ind w:firstLine="0"/>
              <w:jc w:val="center"/>
            </w:pPr>
            <w:r>
              <w:rPr>
                <w:b/>
                <w:sz w:val="18"/>
              </w:rPr>
              <w:t>Synthetic</w:t>
            </w:r>
          </w:p>
        </w:tc>
        <w:tc>
          <w:tcPr>
            <w:tcW w:w="3360" w:type="dxa"/>
            <w:tcBorders>
              <w:bottom w:val="single" w:sz="6" w:space="0" w:color="000000"/>
            </w:tcBorders>
            <w:vAlign w:val="center"/>
          </w:tcPr>
          <w:p w14:paraId="400AE991" w14:textId="77777777" w:rsidR="006F3A31" w:rsidRDefault="00000000">
            <w:pPr>
              <w:ind w:firstLine="0"/>
              <w:jc w:val="center"/>
            </w:pPr>
            <w:r>
              <w:rPr>
                <w:b/>
                <w:sz w:val="18"/>
              </w:rPr>
              <w:t>Real-data (Insurance)</w:t>
            </w:r>
          </w:p>
        </w:tc>
      </w:tr>
      <w:tr w:rsidR="006F3A31" w14:paraId="78641694" w14:textId="77777777">
        <w:trPr>
          <w:jc w:val="center"/>
        </w:trPr>
        <w:tc>
          <w:tcPr>
            <w:tcW w:w="3360" w:type="dxa"/>
            <w:vAlign w:val="center"/>
          </w:tcPr>
          <w:p w14:paraId="459D55DE" w14:textId="77777777" w:rsidR="006F3A31" w:rsidRDefault="00000000">
            <w:pPr>
              <w:ind w:firstLine="0"/>
              <w:jc w:val="left"/>
            </w:pPr>
            <w:r>
              <w:rPr>
                <w:sz w:val="18"/>
              </w:rPr>
              <w:t>L1: bare prompt, no enforcement</w:t>
            </w:r>
          </w:p>
        </w:tc>
        <w:tc>
          <w:tcPr>
            <w:tcW w:w="3360" w:type="dxa"/>
            <w:vAlign w:val="center"/>
          </w:tcPr>
          <w:p w14:paraId="3FF3FFCA" w14:textId="77777777" w:rsidR="006F3A31" w:rsidRDefault="00000000">
            <w:pPr>
              <w:ind w:firstLine="0"/>
              <w:jc w:val="center"/>
            </w:pPr>
            <w:r>
              <w:rPr>
                <w:sz w:val="18"/>
              </w:rPr>
              <w:t>11.5% (23/200)</w:t>
            </w:r>
          </w:p>
        </w:tc>
        <w:tc>
          <w:tcPr>
            <w:tcW w:w="3360" w:type="dxa"/>
            <w:vAlign w:val="center"/>
          </w:tcPr>
          <w:p w14:paraId="0EA8AF91" w14:textId="77777777" w:rsidR="006F3A31" w:rsidRDefault="00000000">
            <w:pPr>
              <w:ind w:firstLine="0"/>
              <w:jc w:val="center"/>
            </w:pPr>
            <w:r>
              <w:rPr>
                <w:sz w:val="18"/>
              </w:rPr>
              <w:t>43.5% (87/200)</w:t>
            </w:r>
          </w:p>
        </w:tc>
      </w:tr>
      <w:tr w:rsidR="006F3A31" w14:paraId="6E808C12" w14:textId="77777777">
        <w:trPr>
          <w:jc w:val="center"/>
        </w:trPr>
        <w:tc>
          <w:tcPr>
            <w:tcW w:w="3360" w:type="dxa"/>
            <w:vAlign w:val="center"/>
          </w:tcPr>
          <w:p w14:paraId="32C321DB" w14:textId="77777777" w:rsidR="006F3A31" w:rsidRDefault="00000000">
            <w:pPr>
              <w:ind w:firstLine="0"/>
              <w:jc w:val="left"/>
            </w:pPr>
            <w:r>
              <w:rPr>
                <w:sz w:val="18"/>
              </w:rPr>
              <w:t>L2: + strict prompt</w:t>
            </w:r>
          </w:p>
        </w:tc>
        <w:tc>
          <w:tcPr>
            <w:tcW w:w="3360" w:type="dxa"/>
            <w:vAlign w:val="center"/>
          </w:tcPr>
          <w:p w14:paraId="02F68C3B" w14:textId="77777777" w:rsidR="006F3A31" w:rsidRDefault="00000000">
            <w:pPr>
              <w:ind w:firstLine="0"/>
              <w:jc w:val="center"/>
            </w:pPr>
            <w:r>
              <w:rPr>
                <w:sz w:val="18"/>
              </w:rPr>
              <w:t>0.0% (0/200)</w:t>
            </w:r>
          </w:p>
        </w:tc>
        <w:tc>
          <w:tcPr>
            <w:tcW w:w="3360" w:type="dxa"/>
            <w:vAlign w:val="center"/>
          </w:tcPr>
          <w:p w14:paraId="476E535A" w14:textId="77777777" w:rsidR="006F3A31" w:rsidRDefault="00000000">
            <w:pPr>
              <w:ind w:firstLine="0"/>
              <w:jc w:val="center"/>
            </w:pPr>
            <w:r>
              <w:rPr>
                <w:sz w:val="18"/>
              </w:rPr>
              <w:t>0.0% (0/200)</w:t>
            </w:r>
          </w:p>
        </w:tc>
      </w:tr>
      <w:tr w:rsidR="006F3A31" w14:paraId="400AB845" w14:textId="77777777">
        <w:trPr>
          <w:jc w:val="center"/>
        </w:trPr>
        <w:tc>
          <w:tcPr>
            <w:tcW w:w="3360" w:type="dxa"/>
            <w:vAlign w:val="center"/>
          </w:tcPr>
          <w:p w14:paraId="548A805B" w14:textId="77777777" w:rsidR="006F3A31" w:rsidRDefault="00000000">
            <w:pPr>
              <w:ind w:firstLine="0"/>
              <w:jc w:val="left"/>
            </w:pPr>
            <w:r>
              <w:rPr>
                <w:sz w:val="18"/>
              </w:rPr>
              <w:t>L3: full contract</w:t>
            </w:r>
          </w:p>
        </w:tc>
        <w:tc>
          <w:tcPr>
            <w:tcW w:w="3360" w:type="dxa"/>
            <w:vAlign w:val="center"/>
          </w:tcPr>
          <w:p w14:paraId="606AF999" w14:textId="77777777" w:rsidR="006F3A31" w:rsidRDefault="00000000">
            <w:pPr>
              <w:ind w:firstLine="0"/>
              <w:jc w:val="center"/>
            </w:pPr>
            <w:r>
              <w:rPr>
                <w:sz w:val="18"/>
              </w:rPr>
              <w:t>0.0% (0/200)</w:t>
            </w:r>
          </w:p>
        </w:tc>
        <w:tc>
          <w:tcPr>
            <w:tcW w:w="3360" w:type="dxa"/>
            <w:vAlign w:val="center"/>
          </w:tcPr>
          <w:p w14:paraId="02F65AEC" w14:textId="77777777" w:rsidR="006F3A31" w:rsidRDefault="00000000">
            <w:pPr>
              <w:ind w:firstLine="0"/>
              <w:jc w:val="center"/>
            </w:pPr>
            <w:r>
              <w:rPr>
                <w:sz w:val="18"/>
              </w:rPr>
              <w:t>0.0% (0/200)</w:t>
            </w:r>
          </w:p>
        </w:tc>
      </w:tr>
      <w:tr w:rsidR="006F3A31" w14:paraId="46245016" w14:textId="77777777">
        <w:trPr>
          <w:jc w:val="center"/>
        </w:trPr>
        <w:tc>
          <w:tcPr>
            <w:tcW w:w="3360" w:type="dxa"/>
            <w:vAlign w:val="center"/>
          </w:tcPr>
          <w:p w14:paraId="764C132C" w14:textId="77777777" w:rsidR="006F3A31" w:rsidRDefault="00000000">
            <w:pPr>
              <w:ind w:firstLine="0"/>
              <w:jc w:val="left"/>
            </w:pPr>
            <w:r>
              <w:rPr>
                <w:sz w:val="18"/>
              </w:rPr>
              <w:t>STRESS: bare prompt, Tier B only</w:t>
            </w:r>
          </w:p>
        </w:tc>
        <w:tc>
          <w:tcPr>
            <w:tcW w:w="3360" w:type="dxa"/>
            <w:vAlign w:val="center"/>
          </w:tcPr>
          <w:p w14:paraId="5F88633D" w14:textId="77777777" w:rsidR="006F3A31" w:rsidRDefault="00000000">
            <w:pPr>
              <w:ind w:firstLine="0"/>
              <w:jc w:val="center"/>
            </w:pPr>
            <w:r>
              <w:rPr>
                <w:b/>
                <w:sz w:val="18"/>
              </w:rPr>
              <w:t>0.0% (0/200)</w:t>
            </w:r>
          </w:p>
        </w:tc>
        <w:tc>
          <w:tcPr>
            <w:tcW w:w="3360" w:type="dxa"/>
            <w:vAlign w:val="center"/>
          </w:tcPr>
          <w:p w14:paraId="0E53F680" w14:textId="77777777" w:rsidR="006F3A31" w:rsidRDefault="00000000">
            <w:pPr>
              <w:ind w:firstLine="0"/>
              <w:jc w:val="center"/>
            </w:pPr>
            <w:r>
              <w:rPr>
                <w:b/>
                <w:sz w:val="18"/>
              </w:rPr>
              <w:t>0.0% (0/200)</w:t>
            </w:r>
          </w:p>
        </w:tc>
      </w:tr>
    </w:tbl>
    <w:p w14:paraId="7A212FAF" w14:textId="77777777" w:rsidR="006F3A31" w:rsidRDefault="006F3A31">
      <w:pPr>
        <w:spacing w:after="60"/>
        <w:ind w:firstLine="0"/>
      </w:pPr>
    </w:p>
    <w:p w14:paraId="662F48A7" w14:textId="77777777" w:rsidR="006F3A31" w:rsidRDefault="00000000">
      <w:pPr>
        <w:spacing w:after="60"/>
      </w:pPr>
      <w:r>
        <w:t>Table I covers the entity channel. The L1 intervals are [7.79, 16.66] on the synthetic task and [36.82, 50.43] on real data; every 0/200 cell carries [0.00, 1.88]. The other two channels stayed silent everywhere: no value misquote and no critical omission in any cell of either task. We do not read the silence as a victory. This model copies numbers accurately when it commits to structured claims, and the anchor is the most salient item in the context; Sec. V-C discusses why both could change.</w:t>
      </w:r>
    </w:p>
    <w:p w14:paraId="3F032714" w14:textId="77777777" w:rsidR="006F3A31" w:rsidRDefault="00000000">
      <w:pPr>
        <w:spacing w:after="60"/>
      </w:pPr>
      <w:r>
        <w:rPr>
          <w:b/>
        </w:rPr>
        <w:t>Prompt wording is not a defense.</w:t>
      </w:r>
      <w:r>
        <w:t xml:space="preserve"> Table II shows what happens to the bare rate when only the wording of the instruction changes. All six paraphrases were written before any measurement and none was discarded afterwards. The span is 1% to 100%. A terse instruction almost never fabricates. A mechanical field-listing one always does. A helpful-assistant framing lands at 93%, and no obvious feature of the wording predicts where a variant will fall. A defense that moves two orders of magnitude under innocuous rewording is not one that can be certified. That, in a single table, is the case for structural enforcement.</w:t>
      </w:r>
    </w:p>
    <w:p w14:paraId="76FF0021" w14:textId="77777777" w:rsidR="006F3A31" w:rsidRDefault="00000000">
      <w:pPr>
        <w:spacing w:before="120" w:after="60"/>
        <w:ind w:firstLine="0"/>
        <w:jc w:val="center"/>
      </w:pPr>
      <w:r>
        <w:rPr>
          <w:sz w:val="18"/>
        </w:rPr>
        <w:t>TABLE II. BARE-PROMPT PARAPHRASE SWEEP (SYNTHETIC, N = 100 PER VARIANT)</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461"/>
        <w:gridCol w:w="1273"/>
        <w:gridCol w:w="1273"/>
        <w:gridCol w:w="1069"/>
      </w:tblGrid>
      <w:tr w:rsidR="006F3A31" w14:paraId="79F10C29" w14:textId="77777777">
        <w:trPr>
          <w:jc w:val="center"/>
        </w:trPr>
        <w:tc>
          <w:tcPr>
            <w:tcW w:w="2520" w:type="dxa"/>
            <w:tcBorders>
              <w:bottom w:val="single" w:sz="6" w:space="0" w:color="000000"/>
            </w:tcBorders>
            <w:vAlign w:val="center"/>
          </w:tcPr>
          <w:p w14:paraId="2FB4F856" w14:textId="77777777" w:rsidR="006F3A31" w:rsidRDefault="00000000">
            <w:pPr>
              <w:ind w:firstLine="0"/>
              <w:jc w:val="left"/>
            </w:pPr>
            <w:r>
              <w:rPr>
                <w:b/>
                <w:sz w:val="18"/>
              </w:rPr>
              <w:t>Variant</w:t>
            </w:r>
          </w:p>
        </w:tc>
        <w:tc>
          <w:tcPr>
            <w:tcW w:w="2520" w:type="dxa"/>
            <w:tcBorders>
              <w:bottom w:val="single" w:sz="6" w:space="0" w:color="000000"/>
            </w:tcBorders>
            <w:vAlign w:val="center"/>
          </w:tcPr>
          <w:p w14:paraId="4CA7C8F1" w14:textId="77777777" w:rsidR="006F3A31" w:rsidRDefault="00000000">
            <w:pPr>
              <w:ind w:firstLine="0"/>
              <w:jc w:val="center"/>
            </w:pPr>
            <w:r>
              <w:rPr>
                <w:b/>
                <w:sz w:val="18"/>
              </w:rPr>
              <w:t>Entity-fab</w:t>
            </w:r>
          </w:p>
        </w:tc>
        <w:tc>
          <w:tcPr>
            <w:tcW w:w="2520" w:type="dxa"/>
            <w:tcBorders>
              <w:bottom w:val="single" w:sz="6" w:space="0" w:color="000000"/>
            </w:tcBorders>
            <w:vAlign w:val="center"/>
          </w:tcPr>
          <w:p w14:paraId="5BD4AD40" w14:textId="77777777" w:rsidR="006F3A31" w:rsidRDefault="00000000">
            <w:pPr>
              <w:ind w:firstLine="0"/>
              <w:jc w:val="center"/>
            </w:pPr>
            <w:r>
              <w:rPr>
                <w:b/>
                <w:sz w:val="18"/>
              </w:rPr>
              <w:t>95% CI</w:t>
            </w:r>
          </w:p>
        </w:tc>
        <w:tc>
          <w:tcPr>
            <w:tcW w:w="2520" w:type="dxa"/>
            <w:tcBorders>
              <w:bottom w:val="single" w:sz="6" w:space="0" w:color="000000"/>
            </w:tcBorders>
            <w:vAlign w:val="center"/>
          </w:tcPr>
          <w:p w14:paraId="09075914" w14:textId="77777777" w:rsidR="006F3A31" w:rsidRDefault="00000000">
            <w:pPr>
              <w:ind w:firstLine="0"/>
              <w:jc w:val="center"/>
            </w:pPr>
            <w:r>
              <w:rPr>
                <w:b/>
                <w:sz w:val="18"/>
              </w:rPr>
              <w:t>k / N</w:t>
            </w:r>
          </w:p>
        </w:tc>
      </w:tr>
      <w:tr w:rsidR="006F3A31" w14:paraId="77316395" w14:textId="77777777">
        <w:trPr>
          <w:jc w:val="center"/>
        </w:trPr>
        <w:tc>
          <w:tcPr>
            <w:tcW w:w="2520" w:type="dxa"/>
            <w:vAlign w:val="center"/>
          </w:tcPr>
          <w:p w14:paraId="2F6C6E11" w14:textId="77777777" w:rsidR="006F3A31" w:rsidRDefault="00000000">
            <w:pPr>
              <w:ind w:firstLine="0"/>
              <w:jc w:val="left"/>
            </w:pPr>
            <w:r>
              <w:rPr>
                <w:sz w:val="18"/>
              </w:rPr>
              <w:t>terse</w:t>
            </w:r>
          </w:p>
        </w:tc>
        <w:tc>
          <w:tcPr>
            <w:tcW w:w="2520" w:type="dxa"/>
            <w:vAlign w:val="center"/>
          </w:tcPr>
          <w:p w14:paraId="6DC74EAD" w14:textId="77777777" w:rsidR="006F3A31" w:rsidRDefault="00000000">
            <w:pPr>
              <w:ind w:firstLine="0"/>
              <w:jc w:val="center"/>
            </w:pPr>
            <w:r>
              <w:rPr>
                <w:sz w:val="18"/>
              </w:rPr>
              <w:t>1.0%</w:t>
            </w:r>
          </w:p>
        </w:tc>
        <w:tc>
          <w:tcPr>
            <w:tcW w:w="2520" w:type="dxa"/>
            <w:vAlign w:val="center"/>
          </w:tcPr>
          <w:p w14:paraId="12222E26" w14:textId="77777777" w:rsidR="006F3A31" w:rsidRDefault="00000000">
            <w:pPr>
              <w:ind w:firstLine="0"/>
              <w:jc w:val="center"/>
            </w:pPr>
            <w:r>
              <w:rPr>
                <w:sz w:val="18"/>
              </w:rPr>
              <w:t>[0.18, 5.45]</w:t>
            </w:r>
          </w:p>
        </w:tc>
        <w:tc>
          <w:tcPr>
            <w:tcW w:w="2520" w:type="dxa"/>
            <w:vAlign w:val="center"/>
          </w:tcPr>
          <w:p w14:paraId="44511F7A" w14:textId="77777777" w:rsidR="006F3A31" w:rsidRDefault="00000000">
            <w:pPr>
              <w:ind w:firstLine="0"/>
              <w:jc w:val="center"/>
            </w:pPr>
            <w:r>
              <w:rPr>
                <w:sz w:val="18"/>
              </w:rPr>
              <w:t>1 / 100</w:t>
            </w:r>
          </w:p>
        </w:tc>
      </w:tr>
      <w:tr w:rsidR="006F3A31" w14:paraId="3A278B21" w14:textId="77777777">
        <w:trPr>
          <w:jc w:val="center"/>
        </w:trPr>
        <w:tc>
          <w:tcPr>
            <w:tcW w:w="2520" w:type="dxa"/>
            <w:vAlign w:val="center"/>
          </w:tcPr>
          <w:p w14:paraId="3CC64A48" w14:textId="77777777" w:rsidR="006F3A31" w:rsidRDefault="00000000">
            <w:pPr>
              <w:ind w:firstLine="0"/>
              <w:jc w:val="left"/>
            </w:pPr>
            <w:r>
              <w:rPr>
                <w:sz w:val="18"/>
              </w:rPr>
              <w:t>baseline</w:t>
            </w:r>
          </w:p>
        </w:tc>
        <w:tc>
          <w:tcPr>
            <w:tcW w:w="2520" w:type="dxa"/>
            <w:vAlign w:val="center"/>
          </w:tcPr>
          <w:p w14:paraId="1E1C8F70" w14:textId="77777777" w:rsidR="006F3A31" w:rsidRDefault="00000000">
            <w:pPr>
              <w:ind w:firstLine="0"/>
              <w:jc w:val="center"/>
            </w:pPr>
            <w:r>
              <w:rPr>
                <w:sz w:val="18"/>
              </w:rPr>
              <w:t>7.0%</w:t>
            </w:r>
          </w:p>
        </w:tc>
        <w:tc>
          <w:tcPr>
            <w:tcW w:w="2520" w:type="dxa"/>
            <w:vAlign w:val="center"/>
          </w:tcPr>
          <w:p w14:paraId="48B78903" w14:textId="77777777" w:rsidR="006F3A31" w:rsidRDefault="00000000">
            <w:pPr>
              <w:ind w:firstLine="0"/>
              <w:jc w:val="center"/>
            </w:pPr>
            <w:r>
              <w:rPr>
                <w:sz w:val="18"/>
              </w:rPr>
              <w:t>[3.43, 13.75]</w:t>
            </w:r>
          </w:p>
        </w:tc>
        <w:tc>
          <w:tcPr>
            <w:tcW w:w="2520" w:type="dxa"/>
            <w:vAlign w:val="center"/>
          </w:tcPr>
          <w:p w14:paraId="44102350" w14:textId="77777777" w:rsidR="006F3A31" w:rsidRDefault="00000000">
            <w:pPr>
              <w:ind w:firstLine="0"/>
              <w:jc w:val="center"/>
            </w:pPr>
            <w:r>
              <w:rPr>
                <w:sz w:val="18"/>
              </w:rPr>
              <w:t>7 / 100</w:t>
            </w:r>
          </w:p>
        </w:tc>
      </w:tr>
      <w:tr w:rsidR="006F3A31" w14:paraId="636A4C52" w14:textId="77777777">
        <w:trPr>
          <w:jc w:val="center"/>
        </w:trPr>
        <w:tc>
          <w:tcPr>
            <w:tcW w:w="2520" w:type="dxa"/>
            <w:vAlign w:val="center"/>
          </w:tcPr>
          <w:p w14:paraId="1A114D61" w14:textId="77777777" w:rsidR="006F3A31" w:rsidRDefault="00000000">
            <w:pPr>
              <w:ind w:firstLine="0"/>
              <w:jc w:val="left"/>
            </w:pPr>
            <w:r>
              <w:rPr>
                <w:sz w:val="18"/>
              </w:rPr>
              <w:t>cautious</w:t>
            </w:r>
          </w:p>
        </w:tc>
        <w:tc>
          <w:tcPr>
            <w:tcW w:w="2520" w:type="dxa"/>
            <w:vAlign w:val="center"/>
          </w:tcPr>
          <w:p w14:paraId="24D2344B" w14:textId="77777777" w:rsidR="006F3A31" w:rsidRDefault="00000000">
            <w:pPr>
              <w:ind w:firstLine="0"/>
              <w:jc w:val="center"/>
            </w:pPr>
            <w:r>
              <w:rPr>
                <w:sz w:val="18"/>
              </w:rPr>
              <w:t>45.0%</w:t>
            </w:r>
          </w:p>
        </w:tc>
        <w:tc>
          <w:tcPr>
            <w:tcW w:w="2520" w:type="dxa"/>
            <w:vAlign w:val="center"/>
          </w:tcPr>
          <w:p w14:paraId="2F2CE19C" w14:textId="77777777" w:rsidR="006F3A31" w:rsidRDefault="00000000">
            <w:pPr>
              <w:ind w:firstLine="0"/>
              <w:jc w:val="center"/>
            </w:pPr>
            <w:r>
              <w:rPr>
                <w:sz w:val="18"/>
              </w:rPr>
              <w:t>[35.61, 54.76]</w:t>
            </w:r>
          </w:p>
        </w:tc>
        <w:tc>
          <w:tcPr>
            <w:tcW w:w="2520" w:type="dxa"/>
            <w:vAlign w:val="center"/>
          </w:tcPr>
          <w:p w14:paraId="67D7F8A2" w14:textId="77777777" w:rsidR="006F3A31" w:rsidRDefault="00000000">
            <w:pPr>
              <w:ind w:firstLine="0"/>
              <w:jc w:val="center"/>
            </w:pPr>
            <w:r>
              <w:rPr>
                <w:sz w:val="18"/>
              </w:rPr>
              <w:t>45 / 100</w:t>
            </w:r>
          </w:p>
        </w:tc>
      </w:tr>
      <w:tr w:rsidR="006F3A31" w14:paraId="6894301D" w14:textId="77777777">
        <w:trPr>
          <w:jc w:val="center"/>
        </w:trPr>
        <w:tc>
          <w:tcPr>
            <w:tcW w:w="2520" w:type="dxa"/>
            <w:vAlign w:val="center"/>
          </w:tcPr>
          <w:p w14:paraId="7FFECE16" w14:textId="77777777" w:rsidR="006F3A31" w:rsidRDefault="00000000">
            <w:pPr>
              <w:ind w:firstLine="0"/>
              <w:jc w:val="left"/>
            </w:pPr>
            <w:r>
              <w:rPr>
                <w:sz w:val="18"/>
              </w:rPr>
              <w:t>expert</w:t>
            </w:r>
          </w:p>
        </w:tc>
        <w:tc>
          <w:tcPr>
            <w:tcW w:w="2520" w:type="dxa"/>
            <w:vAlign w:val="center"/>
          </w:tcPr>
          <w:p w14:paraId="6D351C33" w14:textId="77777777" w:rsidR="006F3A31" w:rsidRDefault="00000000">
            <w:pPr>
              <w:ind w:firstLine="0"/>
              <w:jc w:val="center"/>
            </w:pPr>
            <w:r>
              <w:rPr>
                <w:sz w:val="18"/>
              </w:rPr>
              <w:t>90.0%</w:t>
            </w:r>
          </w:p>
        </w:tc>
        <w:tc>
          <w:tcPr>
            <w:tcW w:w="2520" w:type="dxa"/>
            <w:vAlign w:val="center"/>
          </w:tcPr>
          <w:p w14:paraId="2987B442" w14:textId="77777777" w:rsidR="006F3A31" w:rsidRDefault="00000000">
            <w:pPr>
              <w:ind w:firstLine="0"/>
              <w:jc w:val="center"/>
            </w:pPr>
            <w:r>
              <w:rPr>
                <w:sz w:val="18"/>
              </w:rPr>
              <w:t>[82.56, 94.48]</w:t>
            </w:r>
          </w:p>
        </w:tc>
        <w:tc>
          <w:tcPr>
            <w:tcW w:w="2520" w:type="dxa"/>
            <w:vAlign w:val="center"/>
          </w:tcPr>
          <w:p w14:paraId="561B18D3" w14:textId="77777777" w:rsidR="006F3A31" w:rsidRDefault="00000000">
            <w:pPr>
              <w:ind w:firstLine="0"/>
              <w:jc w:val="center"/>
            </w:pPr>
            <w:r>
              <w:rPr>
                <w:sz w:val="18"/>
              </w:rPr>
              <w:t>90 / 100</w:t>
            </w:r>
          </w:p>
        </w:tc>
      </w:tr>
      <w:tr w:rsidR="006F3A31" w14:paraId="0BCE1346" w14:textId="77777777">
        <w:trPr>
          <w:jc w:val="center"/>
        </w:trPr>
        <w:tc>
          <w:tcPr>
            <w:tcW w:w="2520" w:type="dxa"/>
            <w:vAlign w:val="center"/>
          </w:tcPr>
          <w:p w14:paraId="1806C418" w14:textId="77777777" w:rsidR="006F3A31" w:rsidRDefault="00000000">
            <w:pPr>
              <w:ind w:firstLine="0"/>
              <w:jc w:val="left"/>
            </w:pPr>
            <w:r>
              <w:rPr>
                <w:sz w:val="18"/>
              </w:rPr>
              <w:t>helpful</w:t>
            </w:r>
          </w:p>
        </w:tc>
        <w:tc>
          <w:tcPr>
            <w:tcW w:w="2520" w:type="dxa"/>
            <w:vAlign w:val="center"/>
          </w:tcPr>
          <w:p w14:paraId="569D9459" w14:textId="77777777" w:rsidR="006F3A31" w:rsidRDefault="00000000">
            <w:pPr>
              <w:ind w:firstLine="0"/>
              <w:jc w:val="center"/>
            </w:pPr>
            <w:r>
              <w:rPr>
                <w:sz w:val="18"/>
              </w:rPr>
              <w:t>93.0%</w:t>
            </w:r>
          </w:p>
        </w:tc>
        <w:tc>
          <w:tcPr>
            <w:tcW w:w="2520" w:type="dxa"/>
            <w:vAlign w:val="center"/>
          </w:tcPr>
          <w:p w14:paraId="76510D0B" w14:textId="77777777" w:rsidR="006F3A31" w:rsidRDefault="00000000">
            <w:pPr>
              <w:ind w:firstLine="0"/>
              <w:jc w:val="center"/>
            </w:pPr>
            <w:r>
              <w:rPr>
                <w:sz w:val="18"/>
              </w:rPr>
              <w:t>[86.25, 96.57]</w:t>
            </w:r>
          </w:p>
        </w:tc>
        <w:tc>
          <w:tcPr>
            <w:tcW w:w="2520" w:type="dxa"/>
            <w:vAlign w:val="center"/>
          </w:tcPr>
          <w:p w14:paraId="1E6E62B9" w14:textId="77777777" w:rsidR="006F3A31" w:rsidRDefault="00000000">
            <w:pPr>
              <w:ind w:firstLine="0"/>
              <w:jc w:val="center"/>
            </w:pPr>
            <w:r>
              <w:rPr>
                <w:sz w:val="18"/>
              </w:rPr>
              <w:t>93 / 100</w:t>
            </w:r>
          </w:p>
        </w:tc>
      </w:tr>
      <w:tr w:rsidR="006F3A31" w14:paraId="0357DB10" w14:textId="77777777">
        <w:trPr>
          <w:jc w:val="center"/>
        </w:trPr>
        <w:tc>
          <w:tcPr>
            <w:tcW w:w="2520" w:type="dxa"/>
            <w:vAlign w:val="center"/>
          </w:tcPr>
          <w:p w14:paraId="7BC62384" w14:textId="77777777" w:rsidR="006F3A31" w:rsidRDefault="00000000">
            <w:pPr>
              <w:ind w:firstLine="0"/>
              <w:jc w:val="left"/>
            </w:pPr>
            <w:r>
              <w:rPr>
                <w:sz w:val="18"/>
              </w:rPr>
              <w:t>mechanical</w:t>
            </w:r>
          </w:p>
        </w:tc>
        <w:tc>
          <w:tcPr>
            <w:tcW w:w="2520" w:type="dxa"/>
            <w:vAlign w:val="center"/>
          </w:tcPr>
          <w:p w14:paraId="7B4D7CE7" w14:textId="77777777" w:rsidR="006F3A31" w:rsidRDefault="00000000">
            <w:pPr>
              <w:ind w:firstLine="0"/>
              <w:jc w:val="center"/>
            </w:pPr>
            <w:r>
              <w:rPr>
                <w:sz w:val="18"/>
              </w:rPr>
              <w:t>100.0%</w:t>
            </w:r>
          </w:p>
        </w:tc>
        <w:tc>
          <w:tcPr>
            <w:tcW w:w="2520" w:type="dxa"/>
            <w:vAlign w:val="center"/>
          </w:tcPr>
          <w:p w14:paraId="66BDB728" w14:textId="77777777" w:rsidR="006F3A31" w:rsidRDefault="00000000">
            <w:pPr>
              <w:ind w:firstLine="0"/>
              <w:jc w:val="center"/>
            </w:pPr>
            <w:r>
              <w:rPr>
                <w:sz w:val="18"/>
              </w:rPr>
              <w:t>[96.30, 100.00]</w:t>
            </w:r>
          </w:p>
        </w:tc>
        <w:tc>
          <w:tcPr>
            <w:tcW w:w="2520" w:type="dxa"/>
            <w:vAlign w:val="center"/>
          </w:tcPr>
          <w:p w14:paraId="17286282" w14:textId="77777777" w:rsidR="006F3A31" w:rsidRDefault="00000000">
            <w:pPr>
              <w:ind w:firstLine="0"/>
              <w:jc w:val="center"/>
            </w:pPr>
            <w:r>
              <w:rPr>
                <w:sz w:val="18"/>
              </w:rPr>
              <w:t>100 / 100</w:t>
            </w:r>
          </w:p>
        </w:tc>
      </w:tr>
    </w:tbl>
    <w:p w14:paraId="5C7BB360" w14:textId="77777777" w:rsidR="006F3A31" w:rsidRDefault="006F3A31">
      <w:pPr>
        <w:spacing w:after="60"/>
        <w:ind w:firstLine="0"/>
      </w:pPr>
    </w:p>
    <w:p w14:paraId="109D5D6B" w14:textId="77777777" w:rsidR="006F3A31" w:rsidRDefault="00000000">
      <w:pPr>
        <w:spacing w:after="60"/>
      </w:pPr>
      <w:r>
        <w:rPr>
          <w:b/>
        </w:rPr>
        <w:t>The verifier fires, and correction works.</w:t>
      </w:r>
      <w:r>
        <w:t xml:space="preserve"> Under STRESS on the real-data task, Tier B caught violations in 75 of 200 responses (76 total catches) and passed zero of them to the user; the synthetic task added 4 catches, again none passed. Before running we wrote down an iid retry model (E[calls] = 1 + q + q², residual-strip probability q³); at the observed first-attempt rate q = 0.375 it predicts about 114 catches. We measured 76. The model is rejected, and in </w:t>
      </w:r>
      <w:r>
        <w:lastRenderedPageBreak/>
        <w:t>the direction that matters: retries are not independent draws, because the corrective message changes behavior. After one corrective message naming the violation, exactly 1 of 75 responses violated again. The conditional repeat rate fell from 37.5% to 1.3% (Wilson 95% CI [0.2%, 7.2%]), a ~28× drop in point estimate and at least ~5× at the bound, and no response ever reached the strip fallback. Nor is the stress arm artificial: the sweep shows that wordings fabricating at up to 100% arise from innocuous paraphrases, so a rule-free narrator is an operating point that occurs in practice; the stress arm instantiates it and shows the contract absorbing it. A quieter lesson: precise, deterministic feedback is itself a strong mitigation, and the verifier is what makes it precise. Expected overhead stays at E[calls] ≈ 1.38 even under stress, and at ≈ 1.0 in production, where the strict prompt produced no violations at all.</w:t>
      </w:r>
    </w:p>
    <w:p w14:paraId="001588CC" w14:textId="77777777" w:rsidR="006F3A31" w:rsidRDefault="00000000">
      <w:pPr>
        <w:spacing w:after="60"/>
      </w:pPr>
      <w:r>
        <w:rPr>
          <w:b/>
        </w:rPr>
        <w:t>Isolating the tiers.</w:t>
      </w:r>
      <w:r>
        <w:t xml:space="preserve"> Two further diagnostic arms (synthetic task, N = 200 each) pull the layers apart. The first puts the evidence-bound enum in the schema over a bare prompt with no verification, Tier A alone, and the rate fell from L1's 11.5% to 0/200. Even on an endpoint with no documented decode-time enforcement, the enum steers the model strongly; a schema acts here as an instruction, not just a validator. The second runs the full contract under the sweep's worst paraphrase, the one fabricating 100/100 unenforced, and saw zero first-attempt violations and therefore zero catches: the steering absorbed the worst wording before Tier B had anything to do. Neither observation is a guarantee, since steering can regress as silently as prompting. Together with the stress arm, though, the picture is consistent: each tier is independently effective in practice, and Tier B remains the only layer whose protection is certifiable.</w:t>
      </w:r>
    </w:p>
    <w:p w14:paraId="552DB30E" w14:textId="77777777" w:rsidR="006F3A31" w:rsidRDefault="00000000">
      <w:pPr>
        <w:spacing w:after="60"/>
      </w:pPr>
      <w:r>
        <w:rPr>
          <w:b/>
        </w:rPr>
        <w:t>Overhead.</w:t>
      </w:r>
      <w:r>
        <w:t xml:space="preserve"> Extra provider calls happen only on violation: one call per investigation plus at most two corrective retries. The verification itself is set membership and float comparison (Prop. 1). Worst case three calls; measured production overhead zero.</w:t>
      </w:r>
    </w:p>
    <w:p w14:paraId="553AFBB9" w14:textId="77777777" w:rsidR="006F3A31" w:rsidRDefault="00000000">
      <w:pPr>
        <w:spacing w:after="60"/>
      </w:pPr>
      <w:r>
        <w:rPr>
          <w:b/>
        </w:rPr>
        <w:t>Artifact.</w:t>
      </w:r>
      <w:r>
        <w:t xml:space="preserve"> Everything above is the shipped code path, not a research fork. The repository carries 23 end-to-end contract tests (enum binding, value tolerance, misquote retry and strip, omission retry and flag, abstention exemption, the stress configuration, both provider tool formats) against mock clients, and the quality gates (</w:t>
      </w:r>
      <w:r>
        <w:rPr>
          <w:rFonts w:ascii="Consolas" w:hAnsi="Consolas"/>
          <w:sz w:val="18"/>
        </w:rPr>
        <w:t>ruff</w:t>
      </w:r>
      <w:r>
        <w:t xml:space="preserve">, </w:t>
      </w:r>
      <w:r>
        <w:rPr>
          <w:rFonts w:ascii="Consolas" w:hAnsi="Consolas"/>
          <w:sz w:val="18"/>
        </w:rPr>
        <w:t>mypy --strict</w:t>
      </w:r>
      <w:r>
        <w:t>) are clean.</w:t>
      </w:r>
    </w:p>
    <w:p w14:paraId="52D7D54D" w14:textId="77777777" w:rsidR="006F3A31" w:rsidRDefault="00000000">
      <w:pPr>
        <w:spacing w:before="160" w:after="80"/>
        <w:ind w:firstLine="0"/>
        <w:jc w:val="center"/>
      </w:pPr>
      <w:r>
        <w:rPr>
          <w:b/>
        </w:rPr>
        <w:t>V. DISCUSSION AND ERROR ANALYSIS</w:t>
      </w:r>
    </w:p>
    <w:p w14:paraId="3D1ED6CC" w14:textId="77777777" w:rsidR="006F3A31" w:rsidRDefault="00000000">
      <w:pPr>
        <w:spacing w:before="120" w:after="40"/>
        <w:ind w:firstLine="0"/>
        <w:jc w:val="left"/>
      </w:pPr>
      <w:r>
        <w:rPr>
          <w:b/>
          <w:i/>
        </w:rPr>
        <w:t>A. Prompts Are Advisory, Schemas Are Enforcement</w:t>
      </w:r>
    </w:p>
    <w:p w14:paraId="63231232" w14:textId="77777777" w:rsidR="006F3A31" w:rsidRDefault="00000000">
      <w:pPr>
        <w:spacing w:after="60"/>
      </w:pPr>
      <w:r>
        <w:t xml:space="preserve">The sweep turns a slogan into a number. One model, one evidence dictionary, and a fabrication rate anywhere between 1% and 100%, depending on harmless wording choices. The strict prompt's zeros are real (0/200 per task), and they still leave a 1.88% Wilson upper bound with nothing structural holding them in place across the next model update or the next paraphrase. The contract supplies what no prompt can: a worst-case guarantee at any </w:t>
      </w:r>
      <w:r>
        <w:t xml:space="preserve">propensity, under any wording. </w:t>
      </w:r>
      <w:r>
        <w:rPr>
          <w:i/>
        </w:rPr>
        <w:t>Prompts are advisory; schemas, with verification, are enforcement.</w:t>
      </w:r>
    </w:p>
    <w:p w14:paraId="537DE9F2" w14:textId="77777777" w:rsidR="006F3A31" w:rsidRDefault="00000000">
      <w:pPr>
        <w:spacing w:before="120" w:after="40"/>
        <w:ind w:firstLine="0"/>
        <w:jc w:val="left"/>
      </w:pPr>
      <w:r>
        <w:rPr>
          <w:b/>
          <w:i/>
        </w:rPr>
        <w:t>B. Detection Enables Correction</w:t>
      </w:r>
    </w:p>
    <w:p w14:paraId="2084C454" w14:textId="77777777" w:rsidR="006F3A31" w:rsidRDefault="00000000">
      <w:pPr>
        <w:spacing w:after="60"/>
      </w:pPr>
      <w:r>
        <w:t xml:space="preserve">The stress data carry a second lesson. The verifier does more than block: it names what went wrong, and that named feedback is what cut the repeat-violation rate from 37.5% to 1.3% (Sec. IV-C). Contrast the </w:t>
      </w:r>
      <w:r>
        <w:rPr>
          <w:i/>
        </w:rPr>
        <w:t>cautious</w:t>
      </w:r>
      <w:r>
        <w:t xml:space="preserve"> paraphrase, which amounts to telling the model to be careful, and which fabricated at 45%. Vague guidance is weak; machine-generated violation reports are strong. The division of labor follows: let the verifier, not the prompt author, do the correcting.</w:t>
      </w:r>
    </w:p>
    <w:p w14:paraId="206C9512" w14:textId="77777777" w:rsidR="006F3A31" w:rsidRDefault="00000000">
      <w:pPr>
        <w:spacing w:before="120" w:after="40"/>
        <w:ind w:firstLine="0"/>
        <w:jc w:val="left"/>
      </w:pPr>
      <w:r>
        <w:rPr>
          <w:b/>
          <w:i/>
        </w:rPr>
        <w:t>C. Negative Results Are Boundaries, Not Failures</w:t>
      </w:r>
    </w:p>
    <w:p w14:paraId="009FA31E" w14:textId="77777777" w:rsidR="006F3A31" w:rsidRDefault="00000000">
      <w:pPr>
        <w:spacing w:after="60"/>
      </w:pPr>
      <w:r>
        <w:t xml:space="preserve">Nothing fired on the value and omission channels anywhere. The honest explanation: the numbers sit verbatim in the context window, copying them is easy, and the anchor is the single most salient item in </w:t>
      </w:r>
      <w:r>
        <w:rPr>
          <w:i/>
        </w:rPr>
        <w:t>E</w:t>
      </w:r>
      <w:r>
        <w:t>. Longer contexts, derived statistics, or busier evidence could activate either channel. The contract closes both pre-emptively, and the price is a set lookup and a float comparison (Prop. 1). Paying that price before a channel is observed to fail, not after, strikes us as the right default for evidence-closed narrators.</w:t>
      </w:r>
    </w:p>
    <w:p w14:paraId="074165A2" w14:textId="77777777" w:rsidR="006F3A31" w:rsidRDefault="00000000">
      <w:pPr>
        <w:spacing w:before="120" w:after="40"/>
        <w:ind w:firstLine="0"/>
        <w:jc w:val="left"/>
      </w:pPr>
      <w:r>
        <w:rPr>
          <w:b/>
          <w:i/>
        </w:rPr>
        <w:t>D. Beyond ML: Where the Contract Transposes</w:t>
      </w:r>
    </w:p>
    <w:p w14:paraId="72E4A003" w14:textId="77777777" w:rsidR="006F3A31" w:rsidRDefault="00000000">
      <w:pPr>
        <w:spacing w:after="60"/>
      </w:pPr>
      <w:r>
        <w:t>Three invariants make the contract portable: a deterministic evidence producer, a finite enumerable set of observed entities and values, and a runtime enum bound to that set with independent verification. Any narration task with all three supports the same guarantee. A clinical-decision narrator could be bound to the patient's actually-measured abnormal results, with cited values verified against the measurements; an expert-system narrator could be bound to the IDs of the rules that fired. We have not evaluated either domain; they mark where our claims stop. One engineering note from shipping: when a capability is exposed through several interfaces (CLI and tool-server here), parity must be enforced through shared code paths and tested as an invariant; we hit and fixed exactly such a divergence.</w:t>
      </w:r>
    </w:p>
    <w:p w14:paraId="47DB8638" w14:textId="77777777" w:rsidR="006F3A31" w:rsidRDefault="00000000">
      <w:pPr>
        <w:spacing w:before="120" w:after="40"/>
        <w:ind w:firstLine="0"/>
        <w:jc w:val="left"/>
      </w:pPr>
      <w:r>
        <w:rPr>
          <w:b/>
          <w:i/>
        </w:rPr>
        <w:t>E. Limitations and Residual Risks</w:t>
      </w:r>
    </w:p>
    <w:p w14:paraId="4BB8DC99" w14:textId="77777777" w:rsidR="006F3A31" w:rsidRDefault="00000000">
      <w:pPr>
        <w:spacing w:after="40"/>
        <w:ind w:left="360" w:hanging="216"/>
      </w:pPr>
      <w:r>
        <w:t xml:space="preserve">1. </w:t>
      </w:r>
      <w:r>
        <w:rPr>
          <w:b/>
        </w:rPr>
        <w:t>Single provider.</w:t>
      </w:r>
      <w:r>
        <w:t xml:space="preserve"> Every measurement comes from one commercial LLM. The rates should not be generalized to other models; our own sweep shows they do not even generalize across paraphrases of one prompt.</w:t>
      </w:r>
    </w:p>
    <w:p w14:paraId="0DF3B3A6" w14:textId="77777777" w:rsidR="006F3A31" w:rsidRDefault="00000000">
      <w:pPr>
        <w:spacing w:after="40"/>
        <w:ind w:left="360" w:hanging="216"/>
      </w:pPr>
      <w:r>
        <w:t xml:space="preserve">2. </w:t>
      </w:r>
      <w:r>
        <w:rPr>
          <w:b/>
        </w:rPr>
        <w:t>Two tasks, one leak pattern.</w:t>
      </w:r>
      <w:r>
        <w:t xml:space="preserve"> Both tasks inject a log-of-target leak, and other leak patterns and evidence shapes remain unmeasured. We also did not log the composition of L1 violations, per-response claim counts, or per-arm abstention rates; an arm that pushed the narrator into abstention would trivially score zero on every channel. L1's high rates indicate the task elicits committed, citing behavior, but the logging gap is real.</w:t>
      </w:r>
    </w:p>
    <w:p w14:paraId="593FA784" w14:textId="77777777" w:rsidR="006F3A31" w:rsidRDefault="00000000">
      <w:pPr>
        <w:spacing w:after="40"/>
        <w:ind w:left="360" w:hanging="216"/>
      </w:pPr>
      <w:r>
        <w:t xml:space="preserve">3. </w:t>
      </w:r>
      <w:r>
        <w:rPr>
          <w:b/>
        </w:rPr>
        <w:t>Stress-arm confound.</w:t>
      </w:r>
      <w:r>
        <w:t xml:space="preserve"> The stress arm reuses the shipped contract's user message, which mentions a </w:t>
      </w:r>
      <w:r>
        <w:lastRenderedPageBreak/>
        <w:t>contract, so its first-attempt propensity is not exactly L1's (synthetic: 2% vs. 11.5%; real data: 37.5% vs. 43.5%). We report catches as demonstrations that the verifier fires, not as estimates of the bare rate.</w:t>
      </w:r>
    </w:p>
    <w:p w14:paraId="7A0A6657" w14:textId="77777777" w:rsidR="006F3A31" w:rsidRDefault="00000000">
      <w:pPr>
        <w:spacing w:after="40"/>
        <w:ind w:left="360" w:hanging="216"/>
      </w:pPr>
      <w:r>
        <w:t xml:space="preserve">4. </w:t>
      </w:r>
      <w:r>
        <w:rPr>
          <w:b/>
        </w:rPr>
        <w:t>Channels not covered.</w:t>
      </w:r>
      <w:r>
        <w:t xml:space="preserve"> Miscalibrated confidence on correctly-cited, correctly-valued evidence is not scored, nor is the free-text narration field (renderers surface the validated citation and claim sets as the actionable output); enforcement pressure could push fabrication into that unverified channel, and we did not measure such displacement. Prompt-injection compliance is likewise open. And if the deterministic layer misses the true leak, the enum bars the narrator from naming it, a precision-for-recall trade inherent to the binding.</w:t>
      </w:r>
    </w:p>
    <w:p w14:paraId="7C050D51" w14:textId="77777777" w:rsidR="006F3A31" w:rsidRDefault="00000000">
      <w:pPr>
        <w:spacing w:after="40"/>
        <w:ind w:left="360" w:hanging="216"/>
      </w:pPr>
      <w:r>
        <w:t xml:space="preserve">5. </w:t>
      </w:r>
      <w:r>
        <w:rPr>
          <w:b/>
        </w:rPr>
        <w:t>Tier A steers; it does not enforce.</w:t>
      </w:r>
      <w:r>
        <w:t xml:space="preserve"> Isolated on the synthetic task only, the enum took an 11.5% baseline to 0/200. That is steering on this endpoint, and without decode-time enforcement it stays exactly as uncertifiable as a prompt. We also ran no head-to-head against a static-schema decoder where decoders apply, nor against the validate-and-reask toolkits [18], [19].</w:t>
      </w:r>
    </w:p>
    <w:p w14:paraId="68DCC40D" w14:textId="77777777" w:rsidR="006F3A31" w:rsidRDefault="00000000">
      <w:pPr>
        <w:spacing w:before="160" w:after="80"/>
        <w:ind w:firstLine="0"/>
        <w:jc w:val="center"/>
      </w:pPr>
      <w:r>
        <w:rPr>
          <w:b/>
        </w:rPr>
        <w:t>VI. CONCLUSION</w:t>
      </w:r>
    </w:p>
    <w:p w14:paraId="785A08A7" w14:textId="77777777" w:rsidR="006F3A31" w:rsidRDefault="00000000">
      <w:pPr>
        <w:spacing w:after="60"/>
      </w:pPr>
      <w:r>
        <w:t>Evidence-closed narration names the class of tasks whose citable entities and verifiable quantities are finite and machine-enumerable at call time. For this class, faithfulness checking is linear-time (Prop. 1), soundness can be enforced by safe deletion while completeness can only be detected (Prop. 2), and fabrication on the verified channels is therefore preventable rather than merely mitigable. The two-tier contract built on those facts ships in the production narrator of mlcompass, and we measured it live. Bare narrators fabricated at 11.5% and 43.5% on a synthetic and a real-data leakage task, and at anywhere from 1% to 100% across six paraphrases of one instruction. The contract held the user-facing rate at 0/200 on every channel of both tasks; its verifier caught 80 violations across the stress configurations, 76 of them on real data; and one named corrective message cut repeat violations from 37.5% to 1.3%. We are explicit about what is being claimed: not a new decoding algorithm, but a decidable-class framing, a provider-independent contract with two formal observations, and first measurements, among which the paraphrase sweep is, we believe, the sharpest quantitative evidence so far that prompt-level faithfulness cannot be certified from observed behavior alone. The program ahead is concrete: a public narrator-fabrication benchmark across providers, tasks, and leak patterns; verified claims over derived and relational statistics; contract composition along multi-step agent chains, each step's enum derived from the verified output of the step before; and transposition to evidence-closed narrators beyond ML tooling.</w:t>
      </w:r>
    </w:p>
    <w:p w14:paraId="310AD805" w14:textId="77777777" w:rsidR="006F3A31" w:rsidRDefault="00000000">
      <w:pPr>
        <w:spacing w:after="60"/>
      </w:pPr>
      <w:r>
        <w:rPr>
          <w:b/>
        </w:rPr>
        <w:t>Source code:</w:t>
      </w:r>
      <w:r>
        <w:t xml:space="preserve"> github.com/hakansabunis/mlcompass — </w:t>
      </w:r>
      <w:r>
        <w:rPr>
          <w:b/>
        </w:rPr>
        <w:t>Package:</w:t>
      </w:r>
      <w:r>
        <w:t xml:space="preserve"> PyPI, MIT license. All prompts, seeds, the measurement harness, and raw live-run records are in the repository.</w:t>
      </w:r>
    </w:p>
    <w:p w14:paraId="080DFA48" w14:textId="77777777" w:rsidR="006F3A31" w:rsidRDefault="00000000">
      <w:pPr>
        <w:spacing w:before="160" w:after="80"/>
        <w:ind w:firstLine="0"/>
        <w:jc w:val="center"/>
      </w:pPr>
      <w:r>
        <w:rPr>
          <w:b/>
        </w:rPr>
        <w:t>REFERENCES</w:t>
      </w:r>
    </w:p>
    <w:p w14:paraId="1B47540E" w14:textId="77777777" w:rsidR="006F3A31" w:rsidRDefault="00000000">
      <w:pPr>
        <w:spacing w:after="40"/>
        <w:ind w:left="288" w:hanging="288"/>
      </w:pPr>
      <w:r>
        <w:rPr>
          <w:sz w:val="18"/>
        </w:rPr>
        <w:t>[1] ydata-profiling: Automated exploratory data analysis for pandas DataFrames. [Online]. Available: https://github.com/ydataai/ydata-profiling</w:t>
      </w:r>
    </w:p>
    <w:p w14:paraId="1A7063E5" w14:textId="77777777" w:rsidR="006F3A31" w:rsidRDefault="00000000">
      <w:pPr>
        <w:spacing w:after="40"/>
        <w:ind w:left="288" w:hanging="288"/>
      </w:pPr>
      <w:r>
        <w:rPr>
          <w:sz w:val="18"/>
        </w:rPr>
        <w:t xml:space="preserve">[2] M. Zaharia </w:t>
      </w:r>
      <w:r>
        <w:rPr>
          <w:i/>
          <w:sz w:val="18"/>
        </w:rPr>
        <w:t>et al.</w:t>
      </w:r>
      <w:r>
        <w:rPr>
          <w:sz w:val="18"/>
        </w:rPr>
        <w:t xml:space="preserve">, "Accelerating the machine learning lifecycle with MLflow," </w:t>
      </w:r>
      <w:r>
        <w:rPr>
          <w:i/>
          <w:sz w:val="18"/>
        </w:rPr>
        <w:t>IEEE Data Eng. Bull.</w:t>
      </w:r>
      <w:r>
        <w:rPr>
          <w:sz w:val="18"/>
        </w:rPr>
        <w:t>, vol. 41, no. 4, pp. 39–45, 2018.</w:t>
      </w:r>
    </w:p>
    <w:p w14:paraId="64B5149E" w14:textId="77777777" w:rsidR="006F3A31" w:rsidRDefault="00000000">
      <w:pPr>
        <w:spacing w:after="40"/>
        <w:ind w:left="288" w:hanging="288"/>
      </w:pPr>
      <w:r>
        <w:rPr>
          <w:sz w:val="18"/>
        </w:rPr>
        <w:t xml:space="preserve">[3] M. Abadi </w:t>
      </w:r>
      <w:r>
        <w:rPr>
          <w:i/>
          <w:sz w:val="18"/>
        </w:rPr>
        <w:t>et al.</w:t>
      </w:r>
      <w:r>
        <w:rPr>
          <w:sz w:val="18"/>
        </w:rPr>
        <w:t xml:space="preserve">, "TensorFlow: A system for large-scale machine learning," in </w:t>
      </w:r>
      <w:r>
        <w:rPr>
          <w:i/>
          <w:sz w:val="18"/>
        </w:rPr>
        <w:t>Proc. USENIX Symp. Operating Syst. Design Implementation (OSDI)</w:t>
      </w:r>
      <w:r>
        <w:rPr>
          <w:sz w:val="18"/>
        </w:rPr>
        <w:t>, 2016, pp. 265–283.</w:t>
      </w:r>
    </w:p>
    <w:p w14:paraId="11E4D5BB" w14:textId="77777777" w:rsidR="006F3A31" w:rsidRDefault="00000000">
      <w:pPr>
        <w:spacing w:after="40"/>
        <w:ind w:left="288" w:hanging="288"/>
      </w:pPr>
      <w:r>
        <w:rPr>
          <w:sz w:val="18"/>
        </w:rPr>
        <w:t xml:space="preserve">[4] M. Feurer </w:t>
      </w:r>
      <w:r>
        <w:rPr>
          <w:i/>
          <w:sz w:val="18"/>
        </w:rPr>
        <w:t>et al.</w:t>
      </w:r>
      <w:r>
        <w:rPr>
          <w:sz w:val="18"/>
        </w:rPr>
        <w:t xml:space="preserve">, "Efficient and robust automated machine learning," in </w:t>
      </w:r>
      <w:r>
        <w:rPr>
          <w:i/>
          <w:sz w:val="18"/>
        </w:rPr>
        <w:t>Proc. Adv. Neural Inf. Process. Syst. (NeurIPS)</w:t>
      </w:r>
      <w:r>
        <w:rPr>
          <w:sz w:val="18"/>
        </w:rPr>
        <w:t>, 2015, pp. 2962–2970.</w:t>
      </w:r>
    </w:p>
    <w:p w14:paraId="12E822BB" w14:textId="77777777" w:rsidR="006F3A31" w:rsidRDefault="00000000">
      <w:pPr>
        <w:spacing w:after="40"/>
        <w:ind w:left="288" w:hanging="288"/>
      </w:pPr>
      <w:r>
        <w:rPr>
          <w:sz w:val="18"/>
        </w:rPr>
        <w:t xml:space="preserve">[5] S. Yao </w:t>
      </w:r>
      <w:r>
        <w:rPr>
          <w:i/>
          <w:sz w:val="18"/>
        </w:rPr>
        <w:t>et al.</w:t>
      </w:r>
      <w:r>
        <w:rPr>
          <w:sz w:val="18"/>
        </w:rPr>
        <w:t xml:space="preserve">, "ReAct: Synergizing reasoning and acting in language models," in </w:t>
      </w:r>
      <w:r>
        <w:rPr>
          <w:i/>
          <w:sz w:val="18"/>
        </w:rPr>
        <w:t>Proc. Int. Conf. Learn. Representations (ICLR)</w:t>
      </w:r>
      <w:r>
        <w:rPr>
          <w:sz w:val="18"/>
        </w:rPr>
        <w:t>, 2023.</w:t>
      </w:r>
    </w:p>
    <w:p w14:paraId="6E891175" w14:textId="77777777" w:rsidR="006F3A31" w:rsidRDefault="00000000">
      <w:pPr>
        <w:spacing w:after="40"/>
        <w:ind w:left="288" w:hanging="288"/>
      </w:pPr>
      <w:r>
        <w:rPr>
          <w:sz w:val="18"/>
        </w:rPr>
        <w:t xml:space="preserve">[6] T. Schick </w:t>
      </w:r>
      <w:r>
        <w:rPr>
          <w:i/>
          <w:sz w:val="18"/>
        </w:rPr>
        <w:t>et al.</w:t>
      </w:r>
      <w:r>
        <w:rPr>
          <w:sz w:val="18"/>
        </w:rPr>
        <w:t xml:space="preserve">, "Toolformer: Language models can teach themselves to use tools," in </w:t>
      </w:r>
      <w:r>
        <w:rPr>
          <w:i/>
          <w:sz w:val="18"/>
        </w:rPr>
        <w:t>Proc. Adv. Neural Inf. Process. Syst. (NeurIPS)</w:t>
      </w:r>
      <w:r>
        <w:rPr>
          <w:sz w:val="18"/>
        </w:rPr>
        <w:t>, 2023.</w:t>
      </w:r>
    </w:p>
    <w:p w14:paraId="1B6FB82E" w14:textId="77777777" w:rsidR="006F3A31" w:rsidRDefault="00000000">
      <w:pPr>
        <w:spacing w:after="40"/>
        <w:ind w:left="288" w:hanging="288"/>
      </w:pPr>
      <w:r>
        <w:rPr>
          <w:sz w:val="18"/>
        </w:rPr>
        <w:t>[7] Model Context Protocol specification, 2024. [Online]. Available: https://modelcontextprotocol.io</w:t>
      </w:r>
    </w:p>
    <w:p w14:paraId="27F98E29" w14:textId="77777777" w:rsidR="006F3A31" w:rsidRDefault="00000000">
      <w:pPr>
        <w:spacing w:after="40"/>
        <w:ind w:left="288" w:hanging="288"/>
      </w:pPr>
      <w:r>
        <w:rPr>
          <w:sz w:val="18"/>
        </w:rPr>
        <w:t xml:space="preserve">[8] Z. Ji </w:t>
      </w:r>
      <w:r>
        <w:rPr>
          <w:i/>
          <w:sz w:val="18"/>
        </w:rPr>
        <w:t>et al.</w:t>
      </w:r>
      <w:r>
        <w:rPr>
          <w:sz w:val="18"/>
        </w:rPr>
        <w:t xml:space="preserve">, "Survey of hallucination in natural language generation," </w:t>
      </w:r>
      <w:r>
        <w:rPr>
          <w:i/>
          <w:sz w:val="18"/>
        </w:rPr>
        <w:t>ACM Comput. Surv.</w:t>
      </w:r>
      <w:r>
        <w:rPr>
          <w:sz w:val="18"/>
        </w:rPr>
        <w:t>, vol. 55, no. 12, Art. 248, 2023.</w:t>
      </w:r>
    </w:p>
    <w:p w14:paraId="2BCF7F61" w14:textId="77777777" w:rsidR="006F3A31" w:rsidRDefault="00000000">
      <w:pPr>
        <w:spacing w:after="40"/>
        <w:ind w:left="288" w:hanging="288"/>
      </w:pPr>
      <w:r>
        <w:rPr>
          <w:sz w:val="18"/>
        </w:rPr>
        <w:t xml:space="preserve">[9] L. Huang </w:t>
      </w:r>
      <w:r>
        <w:rPr>
          <w:i/>
          <w:sz w:val="18"/>
        </w:rPr>
        <w:t>et al.</w:t>
      </w:r>
      <w:r>
        <w:rPr>
          <w:sz w:val="18"/>
        </w:rPr>
        <w:t xml:space="preserve">, "A survey on hallucination in large language models: Principles, taxonomy, challenges, and open questions," </w:t>
      </w:r>
      <w:r>
        <w:rPr>
          <w:i/>
          <w:sz w:val="18"/>
        </w:rPr>
        <w:t>arXiv:2311.05232</w:t>
      </w:r>
      <w:r>
        <w:rPr>
          <w:sz w:val="18"/>
        </w:rPr>
        <w:t>, 2023.</w:t>
      </w:r>
    </w:p>
    <w:p w14:paraId="525686D3" w14:textId="77777777" w:rsidR="006F3A31" w:rsidRDefault="00000000">
      <w:pPr>
        <w:spacing w:after="40"/>
        <w:ind w:left="288" w:hanging="288"/>
      </w:pPr>
      <w:r>
        <w:rPr>
          <w:sz w:val="18"/>
        </w:rPr>
        <w:t xml:space="preserve">[10] M. Chen </w:t>
      </w:r>
      <w:r>
        <w:rPr>
          <w:i/>
          <w:sz w:val="18"/>
        </w:rPr>
        <w:t>et al.</w:t>
      </w:r>
      <w:r>
        <w:rPr>
          <w:sz w:val="18"/>
        </w:rPr>
        <w:t xml:space="preserve">, "Evaluating large language models trained on code," </w:t>
      </w:r>
      <w:r>
        <w:rPr>
          <w:i/>
          <w:sz w:val="18"/>
        </w:rPr>
        <w:t>arXiv:2107.03374</w:t>
      </w:r>
      <w:r>
        <w:rPr>
          <w:sz w:val="18"/>
        </w:rPr>
        <w:t>, 2021.</w:t>
      </w:r>
    </w:p>
    <w:p w14:paraId="5C7F3DA5" w14:textId="77777777" w:rsidR="006F3A31" w:rsidRDefault="00000000">
      <w:pPr>
        <w:spacing w:after="40"/>
        <w:ind w:left="288" w:hanging="288"/>
      </w:pPr>
      <w:r>
        <w:rPr>
          <w:sz w:val="18"/>
        </w:rPr>
        <w:t xml:space="preserve">[11] C. E. Jimenez </w:t>
      </w:r>
      <w:r>
        <w:rPr>
          <w:i/>
          <w:sz w:val="18"/>
        </w:rPr>
        <w:t>et al.</w:t>
      </w:r>
      <w:r>
        <w:rPr>
          <w:sz w:val="18"/>
        </w:rPr>
        <w:t xml:space="preserve">, "SWE-bench: Can language models resolve real-world GitHub issues?" in </w:t>
      </w:r>
      <w:r>
        <w:rPr>
          <w:i/>
          <w:sz w:val="18"/>
        </w:rPr>
        <w:t>Proc. Int. Conf. Learn. Representations (ICLR)</w:t>
      </w:r>
      <w:r>
        <w:rPr>
          <w:sz w:val="18"/>
        </w:rPr>
        <w:t>, 2024.</w:t>
      </w:r>
    </w:p>
    <w:p w14:paraId="186CB97C" w14:textId="77777777" w:rsidR="006F3A31" w:rsidRDefault="00000000">
      <w:pPr>
        <w:spacing w:after="40"/>
        <w:ind w:left="288" w:hanging="288"/>
      </w:pPr>
      <w:r>
        <w:rPr>
          <w:sz w:val="18"/>
        </w:rPr>
        <w:t xml:space="preserve">[12] B. T. Willard and R. Louf, "Efficient guided generation for large language models," </w:t>
      </w:r>
      <w:r>
        <w:rPr>
          <w:i/>
          <w:sz w:val="18"/>
        </w:rPr>
        <w:t>arXiv:2307.09702</w:t>
      </w:r>
      <w:r>
        <w:rPr>
          <w:sz w:val="18"/>
        </w:rPr>
        <w:t>, 2023.</w:t>
      </w:r>
    </w:p>
    <w:p w14:paraId="1E149C05" w14:textId="77777777" w:rsidR="006F3A31" w:rsidRDefault="00000000">
      <w:pPr>
        <w:spacing w:after="40"/>
        <w:ind w:left="288" w:hanging="288"/>
      </w:pPr>
      <w:r>
        <w:rPr>
          <w:sz w:val="18"/>
        </w:rPr>
        <w:t xml:space="preserve">[13] L. Beurer-Kellner, M. Fischer, and M. Vechev, "Prompting is programming: A query language for large language models," </w:t>
      </w:r>
      <w:r>
        <w:rPr>
          <w:i/>
          <w:sz w:val="18"/>
        </w:rPr>
        <w:t>Proc. ACM Program. Lang.</w:t>
      </w:r>
      <w:r>
        <w:rPr>
          <w:sz w:val="18"/>
        </w:rPr>
        <w:t>, vol. 7, no. PLDI, pp. 1946–1969, 2023.</w:t>
      </w:r>
    </w:p>
    <w:p w14:paraId="17B23AB8" w14:textId="77777777" w:rsidR="006F3A31" w:rsidRDefault="00000000">
      <w:pPr>
        <w:spacing w:after="40"/>
        <w:ind w:left="288" w:hanging="288"/>
      </w:pPr>
      <w:r>
        <w:rPr>
          <w:sz w:val="18"/>
        </w:rPr>
        <w:t xml:space="preserve">[14] S. Geng, M. Josifoski, M. Peyrard, and R. West, "Grammar-constrained decoding for structured NLP tasks without finetuning," in </w:t>
      </w:r>
      <w:r>
        <w:rPr>
          <w:i/>
          <w:sz w:val="18"/>
        </w:rPr>
        <w:t>Proc. Conf. Empirical Methods Natural Lang. Process. (EMNLP)</w:t>
      </w:r>
      <w:r>
        <w:rPr>
          <w:sz w:val="18"/>
        </w:rPr>
        <w:t>, 2023, pp. 10932–10952.</w:t>
      </w:r>
    </w:p>
    <w:p w14:paraId="2B836296" w14:textId="77777777" w:rsidR="006F3A31" w:rsidRDefault="00000000">
      <w:pPr>
        <w:spacing w:after="40"/>
        <w:ind w:left="288" w:hanging="288"/>
      </w:pPr>
      <w:r>
        <w:rPr>
          <w:sz w:val="18"/>
        </w:rPr>
        <w:t>[15] Guidance: A guidance language for controlling large language models, 2023. [Online]. Available: https://github.com/guidance-ai/guidance</w:t>
      </w:r>
    </w:p>
    <w:p w14:paraId="6A69E1BE" w14:textId="77777777" w:rsidR="006F3A31" w:rsidRDefault="00000000">
      <w:pPr>
        <w:spacing w:after="40"/>
        <w:ind w:left="288" w:hanging="288"/>
      </w:pPr>
      <w:r>
        <w:rPr>
          <w:sz w:val="18"/>
        </w:rPr>
        <w:t>[16] Structured outputs for schema-constrained tool use, 2024. [Online]. Available: https://platform.openai.com/docs/guides/structured-outputs</w:t>
      </w:r>
    </w:p>
    <w:p w14:paraId="7B061A46" w14:textId="77777777" w:rsidR="006F3A31" w:rsidRDefault="00000000">
      <w:pPr>
        <w:spacing w:after="40"/>
        <w:ind w:left="288" w:hanging="288"/>
      </w:pPr>
      <w:r>
        <w:rPr>
          <w:sz w:val="18"/>
        </w:rPr>
        <w:t xml:space="preserve">[17] S. Kaufman, S. Rosset, C. Perlich, and O. Stitelman, "Leakage in data mining: Formulation, detection, and avoidance," </w:t>
      </w:r>
      <w:r>
        <w:rPr>
          <w:i/>
          <w:sz w:val="18"/>
        </w:rPr>
        <w:t>ACM Trans. Knowl. Discovery Data</w:t>
      </w:r>
      <w:r>
        <w:rPr>
          <w:sz w:val="18"/>
        </w:rPr>
        <w:t>, vol. 6, no. 4, Art. 15, 2012.</w:t>
      </w:r>
    </w:p>
    <w:p w14:paraId="342AF0FB" w14:textId="77777777" w:rsidR="006F3A31" w:rsidRDefault="00000000">
      <w:pPr>
        <w:spacing w:after="40"/>
        <w:ind w:left="288" w:hanging="288"/>
      </w:pPr>
      <w:r>
        <w:rPr>
          <w:sz w:val="18"/>
        </w:rPr>
        <w:t>[18] Guardrails AI: Adding guardrails to large language models. [Online]. Available: https://github.com/guardrails-ai/guardrails</w:t>
      </w:r>
    </w:p>
    <w:p w14:paraId="6E6BA945" w14:textId="77777777" w:rsidR="006F3A31" w:rsidRDefault="00000000">
      <w:pPr>
        <w:spacing w:after="40"/>
        <w:ind w:left="288" w:hanging="288"/>
      </w:pPr>
      <w:r>
        <w:rPr>
          <w:sz w:val="18"/>
        </w:rPr>
        <w:t xml:space="preserve">[19] T. Rebedea, R. Dinu, M. N. Sreedhar, C. Parisien, and J. Cohen, "NeMo Guardrails: A toolkit for controllable and safe LLM applications with programmable rails," in </w:t>
      </w:r>
      <w:r>
        <w:rPr>
          <w:i/>
          <w:sz w:val="18"/>
        </w:rPr>
        <w:t>Proc. EMNLP: System Demonstrations</w:t>
      </w:r>
      <w:r>
        <w:rPr>
          <w:sz w:val="18"/>
        </w:rPr>
        <w:t>, 2023, pp. 431–445.</w:t>
      </w:r>
    </w:p>
    <w:sectPr w:rsidR="006F3A31" w:rsidSect="00034616">
      <w:type w:val="continuous"/>
      <w:pgSz w:w="12240" w:h="15840"/>
      <w:pgMar w:top="1080" w:right="1080" w:bottom="144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720590">
    <w:abstractNumId w:val="8"/>
  </w:num>
  <w:num w:numId="2" w16cid:durableId="527261399">
    <w:abstractNumId w:val="6"/>
  </w:num>
  <w:num w:numId="3" w16cid:durableId="679745757">
    <w:abstractNumId w:val="5"/>
  </w:num>
  <w:num w:numId="4" w16cid:durableId="432477425">
    <w:abstractNumId w:val="4"/>
  </w:num>
  <w:num w:numId="5" w16cid:durableId="519852552">
    <w:abstractNumId w:val="7"/>
  </w:num>
  <w:num w:numId="6" w16cid:durableId="1523936423">
    <w:abstractNumId w:val="3"/>
  </w:num>
  <w:num w:numId="7" w16cid:durableId="1292857983">
    <w:abstractNumId w:val="2"/>
  </w:num>
  <w:num w:numId="8" w16cid:durableId="599531358">
    <w:abstractNumId w:val="1"/>
  </w:num>
  <w:num w:numId="9" w16cid:durableId="26569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A31"/>
    <w:rsid w:val="008E3DEC"/>
    <w:rsid w:val="00AA1D8D"/>
    <w:rsid w:val="00B47730"/>
    <w:rsid w:val="00CB0664"/>
    <w:rsid w:val="00E74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A9C55"/>
  <w14:defaultImageDpi w14:val="300"/>
  <w15:docId w15:val="{3BFB3FEF-53C7-45C1-84F8-10E6CCCA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88"/>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4979</Words>
  <Characters>28385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Hakan Sabunis</cp:lastModifiedBy>
  <cp:revision>2</cp:revision>
  <dcterms:created xsi:type="dcterms:W3CDTF">2013-12-23T23:15:00Z</dcterms:created>
  <dcterms:modified xsi:type="dcterms:W3CDTF">2026-06-12T14:54:00Z</dcterms:modified>
  <cp:category/>
</cp:coreProperties>
</file>