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r>
        <w:t xml:space="preserve"> </w:t>
      </w:r>
    </w:p>
    <w:p>
      <w:pPr>
        <w:spacing w:after="200" w:before="0"/>
        <w:jc w:val="center"/>
      </w:pPr>
      <w:r>
        <w:rPr>
          <w:rFonts w:ascii="Arial" w:cs="Arial" w:eastAsia="Arial" w:hAnsi="Arial"/>
          <w:b/>
          <w:bCs/>
          <w:color w:val="1B3A6B"/>
          <w:sz w:val="52"/>
          <w:szCs w:val="52"/>
        </w:rPr>
        <w:t xml:space="preserve">ATTENTION REPLACEMENT FRAMEWORK</w:t>
      </w:r>
    </w:p>
    <w:p>
      <w:pPr>
        <w:spacing w:after="120" w:before="0"/>
        <w:jc w:val="center"/>
      </w:pPr>
      <w:r>
        <w:rPr>
          <w:rFonts w:ascii="Arial" w:cs="Arial" w:eastAsia="Arial" w:hAnsi="Arial"/>
          <w:color w:val="2E75B6"/>
          <w:sz w:val="32"/>
          <w:szCs w:val="32"/>
        </w:rPr>
        <w:t xml:space="preserve">Yön A: Attention Mekanizmasını Yeni Bir Mimari ile Değiştirme</w:t>
      </w:r>
    </w:p>
    <w:p>
      <w:pPr>
        <w:pBdr>
          <w:bottom w:val="single" w:color="2E75B6" w:sz="8" w:space="4"/>
        </w:pBdr>
        <w:spacing w:after="240" w:before="0"/>
      </w:pPr>
      <w:r>
        <w:t xml:space="preserve"> </w:t>
      </w:r>
    </w:p>
    <w:p>
      <w:pPr>
        <w:spacing w:after="60" w:before="120"/>
        <w:jc w:val="center"/>
      </w:pPr>
      <w:r>
        <w:rPr>
          <w:rFonts w:ascii="Arial" w:cs="Arial" w:eastAsia="Arial" w:hAnsi="Arial"/>
          <w:color w:val="888888"/>
          <w:sz w:val="22"/>
          <w:szCs w:val="22"/>
        </w:rPr>
        <w:t xml:space="preserve">PhD Tez Araştırma Raporu — Thesis Note 16 / Yön A</w:t>
      </w:r>
    </w:p>
    <w:p>
      <w:pPr>
        <w:spacing w:after="60" w:before="60"/>
        <w:jc w:val="center"/>
      </w:pPr>
      <w:r>
        <w:rPr>
          <w:rFonts w:ascii="Arial" w:cs="Arial" w:eastAsia="Arial" w:hAnsi="Arial"/>
          <w:color w:val="888888"/>
          <w:sz w:val="20"/>
          <w:szCs w:val="20"/>
        </w:rPr>
        <w:t xml:space="preserve">Kısıtlar: Yeni veri toplama yok · Etiketleme yok · Mevcut modellere uygulanabilir</w:t>
      </w:r>
    </w:p>
    <w:p>
      <w:pPr>
        <w:spacing w:after="0" w:before="120"/>
        <w:jc w:val="center"/>
      </w:pPr>
      <w:r>
        <w:rPr>
          <w:rFonts w:ascii="Arial" w:cs="Arial" w:eastAsia="Arial" w:hAnsi="Arial"/>
          <w:color w:val="888888"/>
          <w:sz w:val="22"/>
          <w:szCs w:val="22"/>
        </w:rPr>
        <w:t xml:space="preserve">Mayıs 2026</w:t>
      </w:r>
    </w:p>
    <w:p>
      <w:r>
        <w:br w:type="page"/>
      </w:r>
    </w:p>
    <w:p>
      <w:pPr>
        <w:pStyle w:val="Heading1"/>
        <w:spacing w:after="240" w:before="480"/>
      </w:pPr>
      <w:r>
        <w:rPr>
          <w:rFonts w:ascii="Arial" w:cs="Arial" w:eastAsia="Arial" w:hAnsi="Arial"/>
          <w:b/>
          <w:bCs/>
          <w:color w:val="1B3A6B"/>
          <w:sz w:val="36"/>
          <w:szCs w:val="36"/>
        </w:rPr>
        <w:t xml:space="preserve">İçindekiler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1. Giriş ve Temel Soru</w:t>
            </w:r>
          </w:p>
        </w:tc>
        <w:tc>
          <w:tcPr>
            <w:tcW w:type="dxa" w:w="5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Neden attention değiştirilmeli?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2. Aday Yöntem 1: Predictive Coding Routing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Tahmin hatasına dayalı yönlendirme</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3. Aday Yöntem 2: Lateral Inhibition / Sparse Coding</w:t>
            </w:r>
          </w:p>
        </w:tc>
        <w:tc>
          <w:tcPr>
            <w:tcW w:type="dxa" w:w="5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Rekabete dayalı seyrek dikkat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4. Aday Yöntem 3: Resonance-Based Routing (ART)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Uyum skoruyla dinamik bağlantı</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5. Karşılaştırmalı Analiz</w:t>
            </w:r>
          </w:p>
        </w:tc>
        <w:tc>
          <w:tcPr>
            <w:tcW w:type="dxa" w:w="5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Üç yöntemin yan yana değerlendirmesi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6. Genel Dikkat Edilmesi Gerekenler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Tüm yöntemler için ortak uyarılar</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7. Önerilen Tez İş Akışı</w:t>
            </w:r>
          </w:p>
        </w:tc>
        <w:tc>
          <w:tcPr>
            <w:tcW w:type="dxa" w:w="5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Hangi yöntemi seçersen nasıl ilerleyeceksin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8. Aday Yayın Önerileri</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Venue listesi ve strateji</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9. Jüriye Karşı Argümanlar</w:t>
            </w:r>
          </w:p>
        </w:tc>
        <w:tc>
          <w:tcPr>
            <w:tcW w:type="dxa" w:w="5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Savunma güçlendirme rehberi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10. Genel Risk Analizi</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Riskler ve çözüm yolları</w:t>
            </w:r>
          </w:p>
        </w:tc>
      </w:tr>
    </w:tbl>
    <w:p>
      <w:r>
        <w:br w:type="page"/>
      </w:r>
    </w:p>
    <w:p>
      <w:pPr>
        <w:pStyle w:val="Heading1"/>
        <w:spacing w:after="240" w:before="480"/>
      </w:pPr>
      <w:r>
        <w:rPr>
          <w:rFonts w:ascii="Arial" w:cs="Arial" w:eastAsia="Arial" w:hAnsi="Arial"/>
          <w:b/>
          <w:bCs/>
          <w:color w:val="1B3A6B"/>
          <w:sz w:val="36"/>
          <w:szCs w:val="36"/>
        </w:rPr>
        <w:t xml:space="preserve">1. Giriş ve Temel Soru</w:t>
      </w:r>
    </w:p>
    <w:p>
      <w:pPr>
        <w:spacing w:after="100" w:before="80"/>
        <w:jc w:val="both"/>
      </w:pPr>
      <w:r>
        <w:rPr>
          <w:rFonts w:ascii="Arial" w:cs="Arial" w:eastAsia="Arial" w:hAnsi="Arial"/>
          <w:b w:val="false"/>
          <w:bCs w:val="false"/>
          <w:i w:val="false"/>
          <w:iCs w:val="false"/>
          <w:color w:val="555555"/>
          <w:sz w:val="22"/>
          <w:szCs w:val="22"/>
        </w:rPr>
        <w:t xml:space="preserve">Transformer mimarisi, 2017 yılında Vaswani et al. tarafından tanıtılan "Attention is All You Need" makalesiyle derin öğrenme dünyasında paradigma değişikliğine yol açmıştır. Bugün itibarıyla büyük dil modellerinin (LLM) neredeyse tamamı bu mimariye dayanmaktadır. Ancak temel soru hâlâ yanıt beklemektedir: Attention, insan dikkatini gerçekten mi modelliyor? Ve daha önemlisi — daha iyi bir alternatif var mı?</w:t>
      </w:r>
    </w:p>
    <w:p>
      <w:pPr>
        <w:spacing w:after="0" w:before="80"/>
      </w:pPr>
      <w:r>
        <w:t xml:space="preserve"> </w:t>
      </w:r>
    </w:p>
    <w:p>
      <w:pPr>
        <w:pStyle w:val="Heading2"/>
        <w:pBdr>
          <w:bottom w:val="single" w:color="2E75B6" w:sz="4" w:space="4"/>
        </w:pBdr>
        <w:spacing w:after="180" w:before="360"/>
      </w:pPr>
      <w:r>
        <w:rPr>
          <w:rFonts w:ascii="Arial" w:cs="Arial" w:eastAsia="Arial" w:hAnsi="Arial"/>
          <w:b/>
          <w:bCs/>
          <w:color w:val="2E75B6"/>
          <w:sz w:val="28"/>
          <w:szCs w:val="28"/>
        </w:rPr>
        <w:t xml:space="preserve">1.1 Attention'ın Yaptığı ve Yapmadığı</w:t>
      </w:r>
    </w:p>
    <w:p>
      <w:pPr>
        <w:spacing w:after="100" w:before="80"/>
        <w:jc w:val="both"/>
      </w:pPr>
      <w:r>
        <w:rPr>
          <w:rFonts w:ascii="Arial" w:cs="Arial" w:eastAsia="Arial" w:hAnsi="Arial"/>
          <w:b w:val="false"/>
          <w:bCs w:val="false"/>
          <w:i w:val="false"/>
          <w:iCs w:val="false"/>
          <w:color w:val="555555"/>
          <w:sz w:val="22"/>
          <w:szCs w:val="22"/>
        </w:rPr>
        <w:t xml:space="preserve">Klasik self-attention mekanizması şu formülle özetlenir:</w:t>
      </w:r>
    </w:p>
    <w:p>
      <w:pPr>
        <w:shd w:fill="F4F4F4" w:val="clear"/>
        <w:spacing w:after="60" w:before="60"/>
        <w:ind w:left="720"/>
      </w:pPr>
      <w:r>
        <w:rPr>
          <w:rFonts w:ascii="Courier New" w:cs="Courier New" w:eastAsia="Courier New" w:hAnsi="Courier New"/>
          <w:color w:val="1A1A1A"/>
          <w:sz w:val="18"/>
          <w:szCs w:val="18"/>
        </w:rPr>
        <w:t xml:space="preserve">Attention(Q, K, V) = softmax(QKᵀ / √dₖ) · V</w:t>
      </w:r>
    </w:p>
    <w:p>
      <w:pPr>
        <w:spacing w:after="100" w:before="80"/>
        <w:jc w:val="both"/>
      </w:pPr>
      <w:r>
        <w:rPr>
          <w:rFonts w:ascii="Arial" w:cs="Arial" w:eastAsia="Arial" w:hAnsi="Arial"/>
          <w:b w:val="false"/>
          <w:bCs w:val="false"/>
          <w:i w:val="false"/>
          <w:iCs w:val="false"/>
          <w:color w:val="555555"/>
          <w:sz w:val="22"/>
          <w:szCs w:val="22"/>
        </w:rPr>
        <w:t xml:space="preserve">Bu formül üç soruyu çözer: (1) hangi öğelere bakmalıyım, (2) ne kadar bakmalıyım, (3) ne almalıyım. Cevap ise geometrik benzerlik (dot product) üzerine kuruludur.</w:t>
      </w:r>
    </w:p>
    <w:p>
      <w:pPr>
        <w:spacing w:after="0" w:before="80"/>
      </w:pPr>
      <w: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Attention'ın Yaptığı ✅</w:t>
            </w:r>
          </w:p>
        </w:tc>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Attention'ın Yapamadığı ❌</w:t>
            </w:r>
          </w:p>
        </w:tc>
      </w:tr>
      <w:tr>
        <w:tc>
          <w:tcPr>
            <w:tcW w:type="dxa" w:w="4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İçerik-bağımlı dinamik yönlendirme</w:t>
            </w:r>
          </w:p>
        </w:tc>
        <w:tc>
          <w:tcPr>
            <w:tcW w:type="dxa" w:w="4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Zamansal (temporal) dinamik modelleme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Paralel hesaplama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Bottom-up / top-down dikkat ayrımı</w:t>
            </w:r>
          </w:p>
        </w:tc>
      </w:tr>
      <w:tr>
        <w:tc>
          <w:tcPr>
            <w:tcW w:type="dxa" w:w="4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Uzun bağımlılıkları yakalama (teorik)</w:t>
            </w:r>
          </w:p>
        </w:tc>
        <w:tc>
          <w:tcPr>
            <w:tcW w:type="dxa" w:w="4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Gerçek anlamda seçici bastırma (suppression)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Ölçeklenebilir yapı</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Enerji-verimli sparse işlem (O(n²) maliyet)</w:t>
            </w:r>
          </w:p>
        </w:tc>
      </w:tr>
      <w:tr>
        <w:tc>
          <w:tcPr>
            <w:tcW w:type="dxa" w:w="4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Multi-head ile çoklu bakış açısı</w:t>
            </w:r>
          </w:p>
        </w:tc>
        <w:tc>
          <w:tcPr>
            <w:tcW w:type="dxa" w:w="4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Inference sırasında adaptasyon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Güçlü matematiksel temel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Belirsizlik azaltma (uncertainty reduction) tabanlı routing</w:t>
            </w:r>
          </w:p>
        </w:tc>
      </w:tr>
    </w:tbl>
    <w:p>
      <w:pPr>
        <w:spacing w:after="0" w:before="80"/>
      </w:pPr>
      <w:r>
        <w:t xml:space="preserve"> </w:t>
      </w:r>
    </w:p>
    <w:p>
      <w:pPr>
        <w:pStyle w:val="Heading2"/>
        <w:pBdr>
          <w:bottom w:val="single" w:color="2E75B6" w:sz="4" w:space="4"/>
        </w:pBdr>
        <w:spacing w:after="180" w:before="360"/>
      </w:pPr>
      <w:r>
        <w:rPr>
          <w:rFonts w:ascii="Arial" w:cs="Arial" w:eastAsia="Arial" w:hAnsi="Arial"/>
          <w:b/>
          <w:bCs/>
          <w:color w:val="2E75B6"/>
          <w:sz w:val="28"/>
          <w:szCs w:val="28"/>
        </w:rPr>
        <w:t xml:space="preserve">1.2 Neden Şimdi?</w:t>
      </w:r>
    </w:p>
    <w:p>
      <w:pPr>
        <w:spacing w:after="100" w:before="80"/>
        <w:jc w:val="both"/>
      </w:pPr>
      <w:r>
        <w:rPr>
          <w:rFonts w:ascii="Arial" w:cs="Arial" w:eastAsia="Arial" w:hAnsi="Arial"/>
          <w:b w:val="false"/>
          <w:bCs w:val="false"/>
          <w:i w:val="false"/>
          <w:iCs w:val="false"/>
          <w:color w:val="555555"/>
          <w:sz w:val="22"/>
          <w:szCs w:val="22"/>
        </w:rPr>
        <w:t xml:space="preserve">Son iki yılda üç kritik gelişme bu araştırmanın zeminini oluşturmuştur:</w:t>
      </w:r>
    </w:p>
    <w:p>
      <w:pPr>
        <w:pStyle w:val="ListParagraph"/>
        <w:numPr>
          <w:ilvl w:val="0"/>
          <w:numId w:val="2"/>
        </w:numPr>
        <w:spacing w:after="60" w:before="60"/>
      </w:pPr>
      <w:r>
        <w:rPr>
          <w:rFonts w:ascii="Arial" w:cs="Arial" w:eastAsia="Arial" w:hAnsi="Arial"/>
          <w:color w:val="1B3A6B"/>
          <w:sz w:val="22"/>
          <w:szCs w:val="22"/>
        </w:rPr>
        <w:t xml:space="preserve">State Space Models (Mamba, 2023): Attention olmadan transformer performansına ulaşıldığını gösterdi.</w:t>
      </w:r>
    </w:p>
    <w:p>
      <w:pPr>
        <w:pStyle w:val="ListParagraph"/>
        <w:numPr>
          <w:ilvl w:val="0"/>
          <w:numId w:val="2"/>
        </w:numPr>
        <w:spacing w:after="60" w:before="60"/>
      </w:pPr>
      <w:r>
        <w:rPr>
          <w:rFonts w:ascii="Arial" w:cs="Arial" w:eastAsia="Arial" w:hAnsi="Arial"/>
          <w:color w:val="1B3A6B"/>
          <w:sz w:val="22"/>
          <w:szCs w:val="22"/>
        </w:rPr>
        <w:t xml:space="preserve">Test-Time Training (Apple TTT-Linear, 2024): Inference sırasında ağırlık güncellemesi mümkün olduğunu kanıtladı.</w:t>
      </w:r>
    </w:p>
    <w:p>
      <w:pPr>
        <w:pStyle w:val="ListParagraph"/>
        <w:numPr>
          <w:ilvl w:val="0"/>
          <w:numId w:val="2"/>
        </w:numPr>
        <w:spacing w:after="60" w:before="60"/>
      </w:pPr>
      <w:r>
        <w:rPr>
          <w:rFonts w:ascii="Arial" w:cs="Arial" w:eastAsia="Arial" w:hAnsi="Arial"/>
          <w:color w:val="1B3A6B"/>
          <w:sz w:val="22"/>
          <w:szCs w:val="22"/>
        </w:rPr>
        <w:t xml:space="preserve">Predictive Coding Networks (Millidge et al., 2022–2024): PC'nin backpropagation'a teorik eşdeğer olduğu gösterildi.</w:t>
      </w:r>
    </w:p>
    <w:p>
      <w:pPr>
        <w:spacing w:after="0" w:before="80"/>
      </w:pPr>
      <w:r>
        <w:t xml:space="preserve"> </w:t>
      </w:r>
    </w:p>
    <w:p>
      <w:pPr>
        <w:pStyle w:val="Heading2"/>
        <w:pBdr>
          <w:bottom w:val="single" w:color="2E75B6" w:sz="4" w:space="4"/>
        </w:pBdr>
        <w:spacing w:after="180" w:before="360"/>
      </w:pPr>
      <w:r>
        <w:rPr>
          <w:rFonts w:ascii="Arial" w:cs="Arial" w:eastAsia="Arial" w:hAnsi="Arial"/>
          <w:b/>
          <w:bCs/>
          <w:color w:val="2E75B6"/>
          <w:sz w:val="28"/>
          <w:szCs w:val="28"/>
        </w:rPr>
        <w:t xml:space="preserve">1.3 Bu Raporun Kapsamı</w:t>
      </w:r>
    </w:p>
    <w:p>
      <w:pPr>
        <w:spacing w:after="100" w:before="80"/>
        <w:jc w:val="both"/>
      </w:pPr>
      <w:r>
        <w:rPr>
          <w:rFonts w:ascii="Arial" w:cs="Arial" w:eastAsia="Arial" w:hAnsi="Arial"/>
          <w:b w:val="false"/>
          <w:bCs w:val="false"/>
          <w:i w:val="false"/>
          <w:iCs w:val="false"/>
          <w:color w:val="555555"/>
          <w:sz w:val="22"/>
          <w:szCs w:val="22"/>
        </w:rPr>
        <w:t xml:space="preserve">Bu rapor, attention mekanizmasının yerini alabilecek üç mimari alternatifi kapsamlı şekilde incelemektedir. Her yöntem için: gerçek hayat analojisi, attention'a kıyasla fark, matematiksel arka plan, literatür durumu, uygulanabilir veri setleri, dikkat edilmesi gerekenler, iş akışı, yayın önerileri, jüri argümanları ve risk analizi sunulmaktadır.</w:t>
      </w:r>
    </w:p>
    <w:p>
      <w:r>
        <w:br w:type="page"/>
      </w:r>
    </w:p>
    <w:p>
      <w:pPr>
        <w:shd w:fill="1B3A6B" w:val="clear"/>
        <w:spacing w:after="0" w:before="0"/>
        <w:ind w:left="0"/>
        <w:jc w:val="center"/>
      </w:pPr>
      <w:r>
        <w:rPr>
          <w:rFonts w:ascii="Arial" w:cs="Arial" w:eastAsia="Arial" w:hAnsi="Arial"/>
          <w:b/>
          <w:bCs/>
          <w:color w:val="FFFFFF"/>
          <w:sz w:val="20"/>
          <w:szCs w:val="20"/>
        </w:rPr>
        <w:t xml:space="preserve">ADAY YÖNTEM 1</w:t>
      </w:r>
    </w:p>
    <w:p>
      <w:pPr>
        <w:pStyle w:val="Heading1"/>
        <w:spacing w:after="240" w:before="480"/>
      </w:pPr>
      <w:r>
        <w:rPr>
          <w:rFonts w:ascii="Arial" w:cs="Arial" w:eastAsia="Arial" w:hAnsi="Arial"/>
          <w:b/>
          <w:bCs/>
          <w:color w:val="1B3A6B"/>
          <w:sz w:val="36"/>
          <w:szCs w:val="36"/>
        </w:rPr>
        <w:t xml:space="preserve">2. Predictive Coding Routing (PCR)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Kısa Tanım</w:t>
            </w:r>
          </w:p>
        </w:tc>
      </w:tr>
      <w:tr>
        <w:tc>
          <w:tcPr>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Predictive Coding Routing (PCR), attention skoru yerine tahmin hatasını (prediction error) yönlendirme sinyali olarak kullanan bir mimari alternatiftir.</w:t>
            </w:r>
          </w:p>
        </w:tc>
      </w:tr>
      <w:tr>
        <w:tc>
          <w:tcPr>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Her token, bağlamdaki diğer token'ların temsillerini tahmin etmeye çalışır.</w:t>
            </w:r>
          </w:p>
        </w:tc>
      </w:tr>
      <w:tr>
        <w:tc>
          <w:tcPr>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Tahmin başarısı düşük = belirsizlik yüksek = bu token önemli → bilgi iletilir.</w:t>
            </w:r>
          </w:p>
        </w:tc>
      </w:tr>
      <w:tr>
        <w:tc>
          <w:tcPr>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Öğrenme sinyali içseldir: etiket veya yeni veri gerektirmez.</w:t>
            </w:r>
          </w:p>
        </w:tc>
      </w:tr>
    </w:tbl>
    <w:p>
      <w:pPr>
        <w:spacing w:after="0" w:before="80"/>
      </w:pPr>
      <w:r>
        <w:t xml:space="preserve"> </w:t>
      </w:r>
    </w:p>
    <w:p>
      <w:pPr>
        <w:pStyle w:val="Heading2"/>
        <w:pBdr>
          <w:bottom w:val="single" w:color="2E75B6" w:sz="4" w:space="4"/>
        </w:pBdr>
        <w:spacing w:after="180" w:before="360"/>
      </w:pPr>
      <w:r>
        <w:rPr>
          <w:rFonts w:ascii="Arial" w:cs="Arial" w:eastAsia="Arial" w:hAnsi="Arial"/>
          <w:b/>
          <w:bCs/>
          <w:color w:val="2E75B6"/>
          <w:sz w:val="28"/>
          <w:szCs w:val="28"/>
        </w:rPr>
        <w:t xml:space="preserve">2.1 Gerçek Hayat Analojisi</w:t>
      </w:r>
    </w:p>
    <w:p>
      <w:pPr>
        <w:spacing w:after="100" w:before="80"/>
        <w:jc w:val="both"/>
      </w:pPr>
      <w:r>
        <w:rPr>
          <w:rFonts w:ascii="Arial" w:cs="Arial" w:eastAsia="Arial" w:hAnsi="Arial"/>
          <w:b w:val="false"/>
          <w:bCs w:val="false"/>
          <w:i w:val="false"/>
          <w:iCs w:val="false"/>
          <w:color w:val="555555"/>
          <w:sz w:val="22"/>
          <w:szCs w:val="22"/>
        </w:rPr>
        <w:t xml:space="preserve">Bir dedektifin sorgusu düşünün. Dedektif bir şüpheliyi dinlerken sürekli "bir sonraki cümlede ne söyleyecek?" diye zihinsel tahminler yapar. Tahmin tutarsa dikkat azalır. Tutmazsa — söylenen şey beklenmedik — dikkat maksimuma çıkar. İşte PCR tam olarak bunu yapar: Attention "bu token ne kadar benzer?" sorusunu sorarken, PCR "bu token ne kadar şaşırtıcı?" sorusunu sorar.</w:t>
      </w:r>
    </w:p>
    <w:p>
      <w:pPr>
        <w:spacing w:after="100" w:before="80"/>
        <w:jc w:val="both"/>
      </w:pPr>
      <w:r>
        <w:rPr>
          <w:rFonts w:ascii="Arial" w:cs="Arial" w:eastAsia="Arial" w:hAnsi="Arial"/>
          <w:b w:val="false"/>
          <w:bCs w:val="false"/>
          <w:i w:val="false"/>
          <w:iCs w:val="false"/>
          <w:color w:val="555555"/>
          <w:sz w:val="22"/>
          <w:szCs w:val="22"/>
        </w:rPr>
        <w:t xml:space="preserve">İkinci bir analoji: radyo frekansı. Bir yayın istasyonunu tararken sinyalin güçlü olduğu frekanslar zaten bilinen şeylerdir. Gürültü veya beklenmedik sinyal — tahmin edilemeyen — asıl bilgi taşıyandır. PCR, bu mantığı token düzeyine indirir.</w:t>
      </w:r>
    </w:p>
    <w:p>
      <w:pPr>
        <w:pStyle w:val="Heading2"/>
        <w:pBdr>
          <w:bottom w:val="single" w:color="2E75B6" w:sz="4" w:space="4"/>
        </w:pBdr>
        <w:spacing w:after="180" w:before="360"/>
      </w:pPr>
      <w:r>
        <w:rPr>
          <w:rFonts w:ascii="Arial" w:cs="Arial" w:eastAsia="Arial" w:hAnsi="Arial"/>
          <w:b/>
          <w:bCs/>
          <w:color w:val="2E75B6"/>
          <w:sz w:val="28"/>
          <w:szCs w:val="28"/>
        </w:rPr>
        <w:t xml:space="preserve">2.2 Attention'ın Çözemediği Neyi Çözüyor?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Sorun</w:t>
            </w:r>
          </w:p>
        </w:tc>
        <w:tc>
          <w:tcPr>
            <w:tcW w:type="dxa" w:w="5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PCR'ın Çözümü</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Attention benzerlik tabanlıdır: anlam ile benzerlik çakışmayabilir</w:t>
            </w:r>
          </w:p>
        </w:tc>
        <w:tc>
          <w:tcPr>
            <w:tcW w:type="dxa" w:w="5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Belirsizlik azaltma tabanlı routing: bilgi-teorik temelli</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Tüm token çiftleri hesaplanır — O(n²) maliyet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Yüksek prediction error olan çiftler önceliklenir — dinamik seyreklik</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Inference sırasında model statiktir</w:t>
            </w:r>
          </w:p>
        </w:tc>
        <w:tc>
          <w:tcPr>
            <w:tcW w:type="dxa" w:w="5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Predictor hatası online güncelleme için sinyal sağlar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"Neden bu token önemli?" sorusunun cevabı yok</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Hata büyüklüğü yorumlanabilir bir önem skoru verir</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Context window dışı bilgiye erişim yok</w:t>
            </w:r>
          </w:p>
        </w:tc>
        <w:tc>
          <w:tcPr>
            <w:tcW w:type="dxa" w:w="5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Bellek mekanizmasıyla entegrasyon doğaldır</w:t>
            </w:r>
          </w:p>
        </w:tc>
      </w:tr>
    </w:tbl>
    <w:p>
      <w:pPr>
        <w:pStyle w:val="Heading2"/>
        <w:pBdr>
          <w:bottom w:val="single" w:color="2E75B6" w:sz="4" w:space="4"/>
        </w:pBdr>
        <w:spacing w:after="180" w:before="360"/>
      </w:pPr>
      <w:r>
        <w:rPr>
          <w:rFonts w:ascii="Arial" w:cs="Arial" w:eastAsia="Arial" w:hAnsi="Arial"/>
          <w:b/>
          <w:bCs/>
          <w:color w:val="2E75B6"/>
          <w:sz w:val="28"/>
          <w:szCs w:val="28"/>
        </w:rPr>
        <w:t xml:space="preserve">2.3 Matematiksel Arka Plan</w:t>
      </w:r>
    </w:p>
    <w:p>
      <w:pPr>
        <w:pStyle w:val="Heading3"/>
        <w:spacing w:after="120" w:before="280"/>
      </w:pPr>
      <w:r>
        <w:rPr>
          <w:rFonts w:ascii="Arial" w:cs="Arial" w:eastAsia="Arial" w:hAnsi="Arial"/>
          <w:b/>
          <w:bCs/>
          <w:color w:val="17718A"/>
          <w:sz w:val="24"/>
          <w:szCs w:val="24"/>
        </w:rPr>
        <w:t xml:space="preserve">Temel Formülasyon</w:t>
      </w:r>
    </w:p>
    <w:p>
      <w:pPr>
        <w:spacing w:after="100" w:before="80"/>
        <w:jc w:val="both"/>
      </w:pPr>
      <w:r>
        <w:rPr>
          <w:rFonts w:ascii="Arial" w:cs="Arial" w:eastAsia="Arial" w:hAnsi="Arial"/>
          <w:b w:val="false"/>
          <w:bCs w:val="false"/>
          <w:i w:val="false"/>
          <w:iCs w:val="false"/>
          <w:color w:val="555555"/>
          <w:sz w:val="22"/>
          <w:szCs w:val="22"/>
        </w:rPr>
        <w:t xml:space="preserve">Klasik attention'da routing skoru şöyledir:</w:t>
      </w:r>
    </w:p>
    <w:p>
      <w:pPr>
        <w:shd w:fill="F4F4F4" w:val="clear"/>
        <w:spacing w:after="60" w:before="60"/>
        <w:ind w:left="720"/>
      </w:pPr>
      <w:r>
        <w:rPr>
          <w:rFonts w:ascii="Courier New" w:cs="Courier New" w:eastAsia="Courier New" w:hAnsi="Courier New"/>
          <w:color w:val="1A1A1A"/>
          <w:sz w:val="18"/>
          <w:szCs w:val="18"/>
        </w:rPr>
        <w:t xml:space="preserve">score(i, j)_ATT = qᵢ · kⱼ / √dₖ</w:t>
      </w:r>
    </w:p>
    <w:p>
      <w:pPr>
        <w:spacing w:after="100" w:before="80"/>
        <w:jc w:val="both"/>
      </w:pPr>
      <w:r>
        <w:rPr>
          <w:rFonts w:ascii="Arial" w:cs="Arial" w:eastAsia="Arial" w:hAnsi="Arial"/>
          <w:b w:val="false"/>
          <w:bCs w:val="false"/>
          <w:i w:val="false"/>
          <w:iCs w:val="false"/>
          <w:color w:val="555555"/>
          <w:sz w:val="22"/>
          <w:szCs w:val="22"/>
        </w:rPr>
        <w:t xml:space="preserve">PCR'da routing skoru prediction error'a dayanır:</w:t>
      </w:r>
    </w:p>
    <w:p>
      <w:pPr>
        <w:shd w:fill="F4F4F4" w:val="clear"/>
        <w:spacing w:after="60" w:before="60"/>
        <w:ind w:left="720"/>
      </w:pPr>
      <w:r>
        <w:rPr>
          <w:rFonts w:ascii="Courier New" w:cs="Courier New" w:eastAsia="Courier New" w:hAnsi="Courier New"/>
          <w:color w:val="1A1A1A"/>
          <w:sz w:val="18"/>
          <w:szCs w:val="18"/>
        </w:rPr>
        <w:t xml:space="preserve">score(i, j)_PCR = 1 / (ε(j | i) + δ)</w:t>
      </w:r>
    </w:p>
    <w:p>
      <w:pPr>
        <w:spacing w:after="100" w:before="80"/>
        <w:jc w:val="both"/>
      </w:pPr>
      <w:r>
        <w:rPr>
          <w:rFonts w:ascii="Arial" w:cs="Arial" w:eastAsia="Arial" w:hAnsi="Arial"/>
          <w:b w:val="false"/>
          <w:bCs w:val="false"/>
          <w:i w:val="false"/>
          <w:iCs w:val="false"/>
          <w:color w:val="555555"/>
          <w:sz w:val="22"/>
          <w:szCs w:val="22"/>
        </w:rPr>
        <w:t xml:space="preserve">Burada ε(j | i), token i'nin bilgisiyle token j'yi tahmin etmeye çalışan küçük bir predictor ağının hatasıdır. δ sayısal kararlılık için küçük bir sabit değerdir.</w:t>
      </w:r>
    </w:p>
    <w:p>
      <w:pPr>
        <w:spacing w:after="0" w:before="80"/>
      </w:pPr>
      <w:r>
        <w:t xml:space="preserve"> </w:t>
      </w:r>
    </w:p>
    <w:p>
      <w:pPr>
        <w:pStyle w:val="Heading3"/>
        <w:spacing w:after="120" w:before="280"/>
      </w:pPr>
      <w:r>
        <w:rPr>
          <w:rFonts w:ascii="Arial" w:cs="Arial" w:eastAsia="Arial" w:hAnsi="Arial"/>
          <w:b/>
          <w:bCs/>
          <w:color w:val="17718A"/>
          <w:sz w:val="24"/>
          <w:szCs w:val="24"/>
        </w:rPr>
        <w:t xml:space="preserve">Predictor Ağı</w:t>
      </w:r>
    </w:p>
    <w:p>
      <w:pPr>
        <w:spacing w:after="100" w:before="80"/>
        <w:jc w:val="both"/>
      </w:pPr>
      <w:r>
        <w:rPr>
          <w:rFonts w:ascii="Arial" w:cs="Arial" w:eastAsia="Arial" w:hAnsi="Arial"/>
          <w:b w:val="false"/>
          <w:bCs w:val="false"/>
          <w:i w:val="false"/>
          <w:iCs w:val="false"/>
          <w:color w:val="555555"/>
          <w:sz w:val="22"/>
          <w:szCs w:val="22"/>
        </w:rPr>
        <w:t xml:space="preserve">Her token için bir micro-predictor tanımlanır:</w:t>
      </w:r>
    </w:p>
    <w:p>
      <w:pPr>
        <w:shd w:fill="F4F4F4" w:val="clear"/>
        <w:spacing w:after="60" w:before="60"/>
        <w:ind w:left="720"/>
      </w:pPr>
      <w:r>
        <w:rPr>
          <w:rFonts w:ascii="Courier New" w:cs="Courier New" w:eastAsia="Courier New" w:hAnsi="Courier New"/>
          <w:color w:val="1A1A1A"/>
          <w:sz w:val="18"/>
          <w:szCs w:val="18"/>
        </w:rPr>
        <w:t xml:space="preserve">ĵ = fθ(xᵢ)    →    xᵢ: token i'nin gömme vektörü</w:t>
      </w:r>
    </w:p>
    <w:p>
      <w:pPr>
        <w:shd w:fill="F4F4F4" w:val="clear"/>
        <w:spacing w:after="60" w:before="60"/>
        <w:ind w:left="720"/>
      </w:pPr>
      <w:r>
        <w:rPr>
          <w:rFonts w:ascii="Courier New" w:cs="Courier New" w:eastAsia="Courier New" w:hAnsi="Courier New"/>
          <w:color w:val="1A1A1A"/>
          <w:sz w:val="18"/>
          <w:szCs w:val="18"/>
        </w:rPr>
        <w:t xml:space="preserve">ε(j | i) = ‖xⱼ - fθ(xᵢ)‖²    (MSE loss)</w:t>
      </w:r>
    </w:p>
    <w:p>
      <w:pPr>
        <w:spacing w:after="100" w:before="80"/>
        <w:jc w:val="both"/>
      </w:pPr>
      <w:r>
        <w:rPr>
          <w:rFonts w:ascii="Arial" w:cs="Arial" w:eastAsia="Arial" w:hAnsi="Arial"/>
          <w:b w:val="false"/>
          <w:bCs w:val="false"/>
          <w:i w:val="false"/>
          <w:iCs w:val="false"/>
          <w:color w:val="555555"/>
          <w:sz w:val="22"/>
          <w:szCs w:val="22"/>
        </w:rPr>
        <w:t xml:space="preserve">Predictor ağı fθ, küçük bir MLP veya lineer projeksiyon olabilir. Eğitim, mevcut model eğitimiyle eş zamanlı yürütülür.</w:t>
      </w:r>
    </w:p>
    <w:p>
      <w:pPr>
        <w:spacing w:after="0" w:before="80"/>
      </w:pPr>
      <w:r>
        <w:t xml:space="preserve"> </w:t>
      </w:r>
    </w:p>
    <w:p>
      <w:pPr>
        <w:pStyle w:val="Heading3"/>
        <w:spacing w:after="120" w:before="280"/>
      </w:pPr>
      <w:r>
        <w:rPr>
          <w:rFonts w:ascii="Arial" w:cs="Arial" w:eastAsia="Arial" w:hAnsi="Arial"/>
          <w:b/>
          <w:bCs/>
          <w:color w:val="17718A"/>
          <w:sz w:val="24"/>
          <w:szCs w:val="24"/>
        </w:rPr>
        <w:t xml:space="preserve">Attention Ağırlıklarına Dönüşüm</w:t>
      </w:r>
    </w:p>
    <w:p>
      <w:pPr>
        <w:shd w:fill="F4F4F4" w:val="clear"/>
        <w:spacing w:after="60" w:before="60"/>
        <w:ind w:left="720"/>
      </w:pPr>
      <w:r>
        <w:rPr>
          <w:rFonts w:ascii="Courier New" w:cs="Courier New" w:eastAsia="Courier New" w:hAnsi="Courier New"/>
          <w:color w:val="1A1A1A"/>
          <w:sz w:val="18"/>
          <w:szCs w:val="18"/>
        </w:rPr>
        <w:t xml:space="preserve">αᵢⱼ = softmax_j( score(i, j)_PCR )</w:t>
      </w:r>
    </w:p>
    <w:p>
      <w:pPr>
        <w:shd w:fill="F4F4F4" w:val="clear"/>
        <w:spacing w:after="60" w:before="60"/>
        <w:ind w:left="720"/>
      </w:pPr>
      <w:r>
        <w:rPr>
          <w:rFonts w:ascii="Courier New" w:cs="Courier New" w:eastAsia="Courier New" w:hAnsi="Courier New"/>
          <w:color w:val="1A1A1A"/>
          <w:sz w:val="18"/>
          <w:szCs w:val="18"/>
        </w:rPr>
        <w:t xml:space="preserve">output_i = Σⱼ αᵢⱼ · vⱼ</w:t>
      </w:r>
    </w:p>
    <w:p>
      <w:pPr>
        <w:spacing w:after="100" w:before="80"/>
        <w:jc w:val="both"/>
      </w:pPr>
      <w:r>
        <w:rPr>
          <w:rFonts w:ascii="Arial" w:cs="Arial" w:eastAsia="Arial" w:hAnsi="Arial"/>
          <w:b w:val="false"/>
          <w:bCs w:val="false"/>
          <w:i w:val="false"/>
          <w:iCs w:val="false"/>
          <w:color w:val="555555"/>
          <w:sz w:val="22"/>
          <w:szCs w:val="22"/>
        </w:rPr>
        <w:t xml:space="preserve">Value (V) matrisi ve çıkış hesabı değişmez. Sadece routing kararı değişir.</w:t>
      </w:r>
    </w:p>
    <w:p>
      <w:pPr>
        <w:spacing w:after="0" w:before="80"/>
      </w:pPr>
      <w:r>
        <w:t xml:space="preserve"> </w:t>
      </w:r>
    </w:p>
    <w:p>
      <w:pPr>
        <w:pStyle w:val="Heading3"/>
        <w:spacing w:after="120" w:before="280"/>
      </w:pPr>
      <w:r>
        <w:rPr>
          <w:rFonts w:ascii="Arial" w:cs="Arial" w:eastAsia="Arial" w:hAnsi="Arial"/>
          <w:b/>
          <w:bCs/>
          <w:color w:val="17718A"/>
          <w:sz w:val="24"/>
          <w:szCs w:val="24"/>
        </w:rPr>
        <w:t xml:space="preserve">Terminoloji Sözlüğü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Terim</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Açıklama</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Prediction Error (Tahmin Hatası)</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Modelin bir token'ı tahmin ederken yaptığı hata miktarı. Büyük hata = beklenmedik bilgi = yüksek önem.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Predictor Network</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Her token için tanımlanan, bağlamdaki diğer token'ları tahmin eden küçük yardımcı ağ.</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Free Energy Principle</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Karl Friston'ın teorisi: beyin, çevresini tahmin ederek ve hatayı minimize ederek çalışır. PCR'ın teorik çatısı.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Uncertainty Reduction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Bir token'ın diğeri hakkındaki belirsizliği ne kadar azalttığı. Bilgi teorik temelli önem ölçütü.</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Mutual Information</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İki değişken arasındaki bilgi paylaşımı. PCR'ın routing kararı, dolaylı olarak MI'ı maksimize eder.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Sparse Routing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Tüm token çiftleri yerine yüksek hatalı (önemli) çiftlerin seçilmesi. Hesaplama verimliliği sağlar.</w:t>
            </w:r>
          </w:p>
        </w:tc>
      </w:tr>
    </w:tbl>
    <w:p>
      <w:pPr>
        <w:pStyle w:val="Heading2"/>
        <w:pBdr>
          <w:bottom w:val="single" w:color="2E75B6" w:sz="4" w:space="4"/>
        </w:pBdr>
        <w:spacing w:after="180" w:before="360"/>
      </w:pPr>
      <w:r>
        <w:rPr>
          <w:rFonts w:ascii="Arial" w:cs="Arial" w:eastAsia="Arial" w:hAnsi="Arial"/>
          <w:b/>
          <w:bCs/>
          <w:color w:val="2E75B6"/>
          <w:sz w:val="28"/>
          <w:szCs w:val="28"/>
        </w:rPr>
        <w:t xml:space="preserve">2.4 Literatürde Benzer Çalışmalar</w:t>
      </w:r>
    </w:p>
    <w:p>
      <w:pPr>
        <w:spacing w:after="100" w:before="80"/>
        <w:jc w:val="both"/>
      </w:pPr>
      <w:r>
        <w:rPr>
          <w:rFonts w:ascii="Arial" w:cs="Arial" w:eastAsia="Arial" w:hAnsi="Arial"/>
          <w:b w:val="false"/>
          <w:bCs w:val="false"/>
          <w:i w:val="false"/>
          <w:iCs w:val="false"/>
          <w:color w:val="555555"/>
          <w:sz w:val="22"/>
          <w:szCs w:val="22"/>
        </w:rPr>
        <w:t xml:space="preserve">Bu alan aktif olmakla birlikte, tam olarak PCR'ı karşılayan çalışma henüz yayımlanmamıştır. Bu boşluk özgün bir katkı fırsatı sunmaktadır.</w:t>
      </w:r>
    </w:p>
    <w:p>
      <w:pPr>
        <w:spacing w:after="0" w:before="80"/>
      </w:pPr>
      <w: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200"/>
        <w:gridCol w:w="48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Çalışma</w:t>
            </w:r>
          </w:p>
        </w:tc>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Yıl</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Yakınlık</w:t>
            </w:r>
          </w:p>
        </w:tc>
        <w:tc>
          <w:tcPr>
            <w:tcW w:type="dxa" w:w="4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Fark</w:t>
            </w:r>
          </w:p>
        </w:tc>
      </w:tr>
      <w:tr>
        <w:tc>
          <w:tcPr>
            <w:tcW w:type="dxa" w:w="2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Rao &amp; Ballard — Predictive Coding in Visual Cortex</w:t>
            </w:r>
          </w:p>
        </w:tc>
        <w:tc>
          <w:tcPr>
            <w:tcW w:type="dxa" w:w="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1999</w:t>
            </w:r>
          </w:p>
        </w:tc>
        <w:tc>
          <w:tcPr>
            <w:tcW w:type="dxa" w:w="1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 (Temel)</w:t>
            </w:r>
          </w:p>
        </w:tc>
        <w:tc>
          <w:tcPr>
            <w:tcW w:type="dxa" w:w="4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Görsel korteks, transformer değil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Millidge et al. — PC as Backprop Equivalent</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2022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 (Teorik)</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Training dinamiği, routing değil</w:t>
            </w:r>
          </w:p>
        </w:tc>
      </w:tr>
      <w:tr>
        <w:tc>
          <w:tcPr>
            <w:tcW w:type="dxa" w:w="2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Friston — Free Energy Principle</w:t>
            </w:r>
          </w:p>
        </w:tc>
        <w:tc>
          <w:tcPr>
            <w:tcW w:type="dxa" w:w="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2010</w:t>
            </w:r>
          </w:p>
        </w:tc>
        <w:tc>
          <w:tcPr>
            <w:tcW w:type="dxa" w:w="1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 (Çatı)</w:t>
            </w:r>
          </w:p>
        </w:tc>
        <w:tc>
          <w:tcPr>
            <w:tcW w:type="dxa" w:w="4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Biyolojik, mühendislik uygulaması yok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Lotter et al. — PredNet</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2017</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Video tahmini, NLP değil</w:t>
            </w:r>
          </w:p>
        </w:tc>
      </w:tr>
      <w:tr>
        <w:tc>
          <w:tcPr>
            <w:tcW w:type="dxa" w:w="2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Mamba / S4 — SSM</w:t>
            </w:r>
          </w:p>
        </w:tc>
        <w:tc>
          <w:tcPr>
            <w:tcW w:type="dxa" w:w="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2023</w:t>
            </w:r>
          </w:p>
        </w:tc>
        <w:tc>
          <w:tcPr>
            <w:tcW w:type="dxa" w:w="1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Düşük (İlhami)</w:t>
            </w:r>
          </w:p>
        </w:tc>
        <w:tc>
          <w:tcPr>
            <w:tcW w:type="dxa" w:w="4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Attention'ı dışlar, PC kullanmaz</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Sun et al. — TTT-Linear (Apple)</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2024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Test-time training, predictor hatayla değil</w:t>
            </w:r>
          </w:p>
        </w:tc>
      </w:tr>
      <w:tr>
        <w:tc>
          <w:tcPr>
            <w:tcW w:type="dxa" w:w="2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Clark et al. — Softmax Alt.</w:t>
            </w:r>
          </w:p>
        </w:tc>
        <w:tc>
          <w:tcPr>
            <w:tcW w:type="dxa" w:w="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2022</w:t>
            </w:r>
          </w:p>
        </w:tc>
        <w:tc>
          <w:tcPr>
            <w:tcW w:type="dxa" w:w="1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Düşük</w:t>
            </w:r>
          </w:p>
        </w:tc>
        <w:tc>
          <w:tcPr>
            <w:tcW w:type="dxa" w:w="4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Softmax değiştirir, routing mantığı farklı</w:t>
            </w:r>
          </w:p>
        </w:tc>
      </w:tr>
    </w:tbl>
    <w:p>
      <w:pPr>
        <w:spacing w:after="0" w:before="80"/>
      </w:pPr>
      <w: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2"/>
                <w:szCs w:val="22"/>
              </w:rPr>
              <w:t xml:space="preserve">Özgün Katkı Boşluğu</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PCR'ı transformer routing mekanizması olarak kullanan ve mevcut modellere adapter şeklinde uygulayan çalışma mevcut değildir.</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"Attention = similarity" yerine "Attention = uncertainty reduction" paradigmasını operasyonelleştiren makale yayımlanmamıştır.</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Etiket olmadan çalışan ve herhangi bir transformer'a uygulanabilen PCR tabanlı routing → özgün katkı.</w:t>
            </w:r>
          </w:p>
        </w:tc>
      </w:tr>
    </w:tbl>
    <w:p>
      <w:pPr>
        <w:pStyle w:val="Heading2"/>
        <w:pBdr>
          <w:bottom w:val="single" w:color="2E75B6" w:sz="4" w:space="4"/>
        </w:pBdr>
        <w:spacing w:after="180" w:before="360"/>
      </w:pPr>
      <w:r>
        <w:rPr>
          <w:rFonts w:ascii="Arial" w:cs="Arial" w:eastAsia="Arial" w:hAnsi="Arial"/>
          <w:b/>
          <w:bCs/>
          <w:color w:val="2E75B6"/>
          <w:sz w:val="28"/>
          <w:szCs w:val="28"/>
        </w:rPr>
        <w:t xml:space="preserve">2.5 Uygulanabilir Veri Setleri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Veri Seti / Alan</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Gerekçe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GLUE / SuperGLUE (NLP Benchmark)</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Mevcut transformer baseline'larıyla doğrudan karşılaştırma imkânı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WikiText-103 / The Pile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Uzun bağlam — PCR'ın belirsizlik azaltma avantajının görüleceği yer</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ImageNet (Vision Transformer ile)</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Görsel token'lar — prediction error'ın spatial bağlamda testi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Long Range Arena (LRA)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Uzun sekans görevleri — attention'ın en zayıf olduğu alan</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Mevcut fine-tuned model ağırlıkları (GPT-2, BERT)</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Yeni veri toplamadan mevcut modele uygulama senaryosu</w:t>
            </w:r>
          </w:p>
        </w:tc>
      </w:tr>
    </w:tbl>
    <w:p>
      <w:pPr>
        <w:pStyle w:val="Heading2"/>
        <w:pBdr>
          <w:bottom w:val="single" w:color="2E75B6" w:sz="4" w:space="4"/>
        </w:pBdr>
        <w:spacing w:after="180" w:before="360"/>
      </w:pPr>
      <w:r>
        <w:rPr>
          <w:rFonts w:ascii="Arial" w:cs="Arial" w:eastAsia="Arial" w:hAnsi="Arial"/>
          <w:b/>
          <w:bCs/>
          <w:color w:val="2E75B6"/>
          <w:sz w:val="28"/>
          <w:szCs w:val="28"/>
        </w:rPr>
        <w:t xml:space="preserve">2.6 Dikkat Edilmesi Gerekenler</w:t>
      </w:r>
    </w:p>
    <w:p>
      <w:pPr>
        <w:pStyle w:val="ListParagraph"/>
        <w:numPr>
          <w:ilvl w:val="0"/>
          <w:numId w:val="2"/>
        </w:numPr>
        <w:spacing w:after="60" w:before="60"/>
      </w:pPr>
      <w:r>
        <w:rPr>
          <w:rFonts w:ascii="Arial" w:cs="Arial" w:eastAsia="Arial" w:hAnsi="Arial"/>
          <w:color w:val="C0392B"/>
          <w:sz w:val="22"/>
          <w:szCs w:val="22"/>
        </w:rPr>
        <w:t xml:space="preserve">Circular dependency: Predictor hataları routing'i, routing de predictor'ı etkiler. Dikkatli initialization ve warm-up schedule gerektirir.</w:t>
      </w:r>
    </w:p>
    <w:p>
      <w:pPr>
        <w:pStyle w:val="ListParagraph"/>
        <w:numPr>
          <w:ilvl w:val="0"/>
          <w:numId w:val="2"/>
        </w:numPr>
        <w:spacing w:after="60" w:before="60"/>
      </w:pPr>
      <w:r>
        <w:rPr>
          <w:rFonts w:ascii="Arial" w:cs="Arial" w:eastAsia="Arial" w:hAnsi="Arial"/>
          <w:color w:val="C0392B"/>
          <w:sz w:val="22"/>
          <w:szCs w:val="22"/>
        </w:rPr>
        <w:t xml:space="preserve">Hesaplama maliyeti: Her token çifti için predictor forward pass yapılırsa maliyet O(n²)'den kurtulmaz. Çözüm: kNN tabanlı aday seçimi ile sparse predictor hesabı.</w:t>
      </w:r>
    </w:p>
    <w:p>
      <w:pPr>
        <w:pStyle w:val="ListParagraph"/>
        <w:numPr>
          <w:ilvl w:val="0"/>
          <w:numId w:val="2"/>
        </w:numPr>
        <w:spacing w:after="60" w:before="60"/>
      </w:pPr>
      <w:r>
        <w:rPr>
          <w:rFonts w:ascii="Arial" w:cs="Arial" w:eastAsia="Arial" w:hAnsi="Arial"/>
          <w:color w:val="D35400"/>
          <w:sz w:val="22"/>
          <w:szCs w:val="22"/>
        </w:rPr>
        <w:t xml:space="preserve">Gradient flow: PC katmanlarında backpropagation yerine PC'nin kendi güncelleme kuralı kullanılabilir — ancak mevcut autograd framework'leriyle entegrasyon dikkat ister.</w:t>
      </w:r>
    </w:p>
    <w:p>
      <w:pPr>
        <w:pStyle w:val="ListParagraph"/>
        <w:numPr>
          <w:ilvl w:val="0"/>
          <w:numId w:val="2"/>
        </w:numPr>
        <w:spacing w:after="60" w:before="60"/>
      </w:pPr>
      <w:r>
        <w:rPr>
          <w:rFonts w:ascii="Arial" w:cs="Arial" w:eastAsia="Arial" w:hAnsi="Arial"/>
          <w:color w:val="D35400"/>
          <w:sz w:val="22"/>
          <w:szCs w:val="22"/>
        </w:rPr>
        <w:t xml:space="preserve">Hyperparameter hassasiyeti: δ (stabilite sabiti) ve öğrenme hızı oranı kritiktir. Ablasyon çalışması zorunludur.</w:t>
      </w:r>
    </w:p>
    <w:p>
      <w:pPr>
        <w:pStyle w:val="ListParagraph"/>
        <w:numPr>
          <w:ilvl w:val="0"/>
          <w:numId w:val="2"/>
        </w:numPr>
        <w:spacing w:after="60" w:before="60"/>
      </w:pPr>
      <w:r>
        <w:rPr>
          <w:rFonts w:ascii="Arial" w:cs="Arial" w:eastAsia="Arial" w:hAnsi="Arial"/>
          <w:color w:val="1A7A4A"/>
          <w:sz w:val="22"/>
          <w:szCs w:val="22"/>
        </w:rPr>
        <w:t xml:space="preserve">Interpretability avantajı: Hata büyüklüğü doğrudan yorumlanabilir. Bu, jüriye sunulacak önemli bir güçlü yandır.</w:t>
      </w:r>
    </w:p>
    <w:p>
      <w:pPr>
        <w:pStyle w:val="Heading2"/>
        <w:pBdr>
          <w:bottom w:val="single" w:color="2E75B6" w:sz="4" w:space="4"/>
        </w:pBdr>
        <w:spacing w:after="180" w:before="360"/>
      </w:pPr>
      <w:r>
        <w:rPr>
          <w:rFonts w:ascii="Arial" w:cs="Arial" w:eastAsia="Arial" w:hAnsi="Arial"/>
          <w:b/>
          <w:bCs/>
          <w:color w:val="2E75B6"/>
          <w:sz w:val="28"/>
          <w:szCs w:val="28"/>
        </w:rPr>
        <w:t xml:space="preserve">2.7 Tez İş Akışı (PCR Seçilirse)</w:t>
      </w:r>
    </w:p>
    <w:p>
      <w:pPr>
        <w:pStyle w:val="ListParagraph"/>
        <w:numPr>
          <w:ilvl w:val="0"/>
          <w:numId w:val="3"/>
        </w:numPr>
        <w:spacing w:after="60" w:before="60"/>
      </w:pPr>
      <w:r>
        <w:rPr>
          <w:rFonts w:ascii="Arial" w:cs="Arial" w:eastAsia="Arial" w:hAnsi="Arial"/>
          <w:color w:val="1B3A6B"/>
          <w:sz w:val="22"/>
          <w:szCs w:val="22"/>
        </w:rPr>
        <w:t xml:space="preserve">Teori &amp; Formülasyon (2 ay): PCR matematiksel çerçevesini oluştur. Free Energy Principle bağlantısını kur. Attention formülasyonuyla karşılaştırmalı analizi yaz.</w:t>
      </w:r>
    </w:p>
    <w:p>
      <w:pPr>
        <w:pStyle w:val="ListParagraph"/>
        <w:numPr>
          <w:ilvl w:val="0"/>
          <w:numId w:val="3"/>
        </w:numPr>
        <w:spacing w:after="60" w:before="60"/>
      </w:pPr>
      <w:r>
        <w:rPr>
          <w:rFonts w:ascii="Arial" w:cs="Arial" w:eastAsia="Arial" w:hAnsi="Arial"/>
          <w:color w:val="1B3A6B"/>
          <w:sz w:val="22"/>
          <w:szCs w:val="22"/>
        </w:rPr>
        <w:t xml:space="preserve">Prototip Implementasyon (2 ay): GPT-2 Small üzerinde attention modülünü PCR ile değiştir. PyTorch'ta predictor network'leri entegre et. WikiText-103 üzerinde ilk perplexity karşılaştırması.</w:t>
      </w:r>
    </w:p>
    <w:p>
      <w:pPr>
        <w:pStyle w:val="ListParagraph"/>
        <w:numPr>
          <w:ilvl w:val="0"/>
          <w:numId w:val="3"/>
        </w:numPr>
        <w:spacing w:after="60" w:before="60"/>
      </w:pPr>
      <w:r>
        <w:rPr>
          <w:rFonts w:ascii="Arial" w:cs="Arial" w:eastAsia="Arial" w:hAnsi="Arial"/>
          <w:color w:val="1B3A6B"/>
          <w:sz w:val="22"/>
          <w:szCs w:val="22"/>
        </w:rPr>
        <w:t xml:space="preserve">Ablasyon &amp; Analiz (2 ay): Predictor mimarisi (lineer vs MLP) ablasyonu. δ ve öğrenme hızı grid search. Sparse routing eşiği denemeleri.</w:t>
      </w:r>
    </w:p>
    <w:p>
      <w:pPr>
        <w:pStyle w:val="ListParagraph"/>
        <w:numPr>
          <w:ilvl w:val="0"/>
          <w:numId w:val="3"/>
        </w:numPr>
        <w:spacing w:after="60" w:before="60"/>
      </w:pPr>
      <w:r>
        <w:rPr>
          <w:rFonts w:ascii="Arial" w:cs="Arial" w:eastAsia="Arial" w:hAnsi="Arial"/>
          <w:color w:val="1B3A6B"/>
          <w:sz w:val="22"/>
          <w:szCs w:val="22"/>
        </w:rPr>
        <w:t xml:space="preserve">Benchmark (2 ay): GLUE, LRA, WikiText-103 üzerinde sistematik değerlendirme. BERT ve GPT-2 baseline karşılaştırması. Hesaplama maliyeti profilleme.</w:t>
      </w:r>
    </w:p>
    <w:p>
      <w:pPr>
        <w:pStyle w:val="ListParagraph"/>
        <w:numPr>
          <w:ilvl w:val="0"/>
          <w:numId w:val="3"/>
        </w:numPr>
        <w:spacing w:after="60" w:before="60"/>
      </w:pPr>
      <w:r>
        <w:rPr>
          <w:rFonts w:ascii="Arial" w:cs="Arial" w:eastAsia="Arial" w:hAnsi="Arial"/>
          <w:color w:val="1B3A6B"/>
          <w:sz w:val="22"/>
          <w:szCs w:val="22"/>
        </w:rPr>
        <w:t xml:space="preserve">Yayın Hazırlığı (2 ay): Makale yazımı. ICLR / NeurIPS / ACL workshop submission.</w:t>
      </w:r>
    </w:p>
    <w:p>
      <w:pPr>
        <w:pStyle w:val="Heading2"/>
        <w:pBdr>
          <w:bottom w:val="single" w:color="2E75B6" w:sz="4" w:space="4"/>
        </w:pBdr>
        <w:spacing w:after="180" w:before="360"/>
      </w:pPr>
      <w:r>
        <w:rPr>
          <w:rFonts w:ascii="Arial" w:cs="Arial" w:eastAsia="Arial" w:hAnsi="Arial"/>
          <w:b/>
          <w:bCs/>
          <w:color w:val="2E75B6"/>
          <w:sz w:val="28"/>
          <w:szCs w:val="28"/>
        </w:rPr>
        <w:t xml:space="preserve">2.8 Aday Yayın Önerileri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Venue</w:t>
            </w:r>
          </w:p>
        </w:tc>
        <w:tc>
          <w:tcPr>
            <w:tcW w:type="dxa" w:w="5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Gerekçe</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ICLR (International Conference on Learning Representations)</w:t>
            </w:r>
          </w:p>
        </w:tc>
        <w:tc>
          <w:tcPr>
            <w:tcW w:type="dxa" w:w="5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PCR teorik + ampirik çalışma — ICLR'ın ana hedef kitlesi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NeurIPS (Efficient ML / Mechanistic Interpretability Workshop)</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Workshop kanalı → daha hızlı geri bildirim ve yayın</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ACL Findings / EMNLP</w:t>
            </w:r>
          </w:p>
        </w:tc>
        <w:tc>
          <w:tcPr>
            <w:tcW w:type="dxa" w:w="5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NLP uygulama odaklı sonuçlar varsa güçlü alternatif</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TMLR (Transactions on Machine Learning Research)</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Teori ağırlıklı, hakemli, zaman baskısı düşük — PhD için ideal</w:t>
            </w:r>
          </w:p>
        </w:tc>
      </w:tr>
    </w:tbl>
    <w:p>
      <w:pPr>
        <w:pStyle w:val="Heading2"/>
        <w:pBdr>
          <w:bottom w:val="single" w:color="2E75B6" w:sz="4" w:space="4"/>
        </w:pBdr>
        <w:spacing w:after="180" w:before="360"/>
      </w:pPr>
      <w:r>
        <w:rPr>
          <w:rFonts w:ascii="Arial" w:cs="Arial" w:eastAsia="Arial" w:hAnsi="Arial"/>
          <w:b/>
          <w:bCs/>
          <w:color w:val="2E75B6"/>
          <w:sz w:val="28"/>
          <w:szCs w:val="28"/>
        </w:rPr>
        <w:t xml:space="preserve">2.9 Jüriye Karşı Güçlü Argümanlar</w:t>
      </w:r>
    </w:p>
    <w:p>
      <w:pPr>
        <w:pStyle w:val="ListParagraph"/>
        <w:numPr>
          <w:ilvl w:val="0"/>
          <w:numId w:val="2"/>
        </w:numPr>
        <w:spacing w:after="60" w:before="60"/>
      </w:pPr>
      <w:r>
        <w:rPr>
          <w:rFonts w:ascii="Arial" w:cs="Arial" w:eastAsia="Arial" w:hAnsi="Arial"/>
          <w:color w:val="1B3A6B"/>
          <w:sz w:val="22"/>
          <w:szCs w:val="22"/>
        </w:rPr>
        <w:t xml:space="preserve">"Attention = benzerlik" varsayımı bilgi-teorik olarak optimize değildir. PCR, "attention = belirsizlik azaltma" üzerine kurulu ve bu teorik olarak daha sağlamdır (Mutual Information maximization ile eşdeğerlik gösterilebilir).</w:t>
      </w:r>
    </w:p>
    <w:p>
      <w:pPr>
        <w:pStyle w:val="ListParagraph"/>
        <w:numPr>
          <w:ilvl w:val="0"/>
          <w:numId w:val="2"/>
        </w:numPr>
        <w:spacing w:after="60" w:before="60"/>
      </w:pPr>
      <w:r>
        <w:rPr>
          <w:rFonts w:ascii="Arial" w:cs="Arial" w:eastAsia="Arial" w:hAnsi="Arial"/>
          <w:color w:val="1B3A6B"/>
          <w:sz w:val="22"/>
          <w:szCs w:val="22"/>
        </w:rPr>
        <w:t xml:space="preserve">Karl Friston'ın Free Energy Principle'ı — nörobilimin son 15 yılının en etkili teorilerinden biri — PCR'ın teorik çatısıdır. Jüride nörobilim bilgisi olan biri için güçlü bir referans.</w:t>
      </w:r>
    </w:p>
    <w:p>
      <w:pPr>
        <w:pStyle w:val="ListParagraph"/>
        <w:numPr>
          <w:ilvl w:val="0"/>
          <w:numId w:val="2"/>
        </w:numPr>
        <w:spacing w:after="60" w:before="60"/>
      </w:pPr>
      <w:r>
        <w:rPr>
          <w:rFonts w:ascii="Arial" w:cs="Arial" w:eastAsia="Arial" w:hAnsi="Arial"/>
          <w:color w:val="1B3A6B"/>
          <w:sz w:val="22"/>
          <w:szCs w:val="22"/>
        </w:rPr>
        <w:t xml:space="preserve">Etiket ve yeni veri gerektirmemesi, yöntemi hem bilimsel hem ticari açıdan ölçeklenebilir kılar. "Herhangi bir mevcut modele uygulayabilirim" güçlü bir pratik argümandır.</w:t>
      </w:r>
    </w:p>
    <w:p>
      <w:pPr>
        <w:pStyle w:val="ListParagraph"/>
        <w:numPr>
          <w:ilvl w:val="0"/>
          <w:numId w:val="2"/>
        </w:numPr>
        <w:spacing w:after="60" w:before="60"/>
      </w:pPr>
      <w:r>
        <w:rPr>
          <w:rFonts w:ascii="Arial" w:cs="Arial" w:eastAsia="Arial" w:hAnsi="Arial"/>
          <w:color w:val="1B3A6B"/>
          <w:sz w:val="22"/>
          <w:szCs w:val="22"/>
        </w:rPr>
        <w:t xml:space="preserve">Interpretability: Prediction error büyüklüğü, modelin neye "şaşırdığını" gösterir. XAI olmaksızın doğal yorumlanabilirlik — günümüzde kritik önem taşıyan bir özellik.</w:t>
      </w:r>
    </w:p>
    <w:p>
      <w:pPr>
        <w:pStyle w:val="Heading2"/>
        <w:pBdr>
          <w:bottom w:val="single" w:color="2E75B6" w:sz="4" w:space="4"/>
        </w:pBdr>
        <w:spacing w:after="180" w:before="360"/>
      </w:pPr>
      <w:r>
        <w:rPr>
          <w:rFonts w:ascii="Arial" w:cs="Arial" w:eastAsia="Arial" w:hAnsi="Arial"/>
          <w:b/>
          <w:bCs/>
          <w:color w:val="2E75B6"/>
          <w:sz w:val="28"/>
          <w:szCs w:val="28"/>
        </w:rPr>
        <w:t xml:space="preserve">2.10 Risk Analizi ve Çözüm Önerileri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000"/>
        <w:gridCol w:w="38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Risk</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Olasılık</w:t>
            </w:r>
          </w:p>
        </w:tc>
        <w:tc>
          <w:tcPr>
            <w:tcW w:type="dxa" w:w="1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Etki</w:t>
            </w:r>
          </w:p>
        </w:tc>
        <w:tc>
          <w:tcPr>
            <w:tcW w:type="dxa" w:w="3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Çözüm</w:t>
            </w:r>
          </w:p>
        </w:tc>
      </w:tr>
      <w:tr>
        <w:tc>
          <w:tcPr>
            <w:tcW w:type="dxa" w:w="3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Circular dependency kaynaklı eğitim kararsızlığı</w:t>
            </w:r>
          </w:p>
        </w:tc>
        <w:tc>
          <w:tcPr>
            <w:tcW w:type="dxa" w:w="1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1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w:t>
            </w:r>
          </w:p>
        </w:tc>
        <w:tc>
          <w:tcPr>
            <w:tcW w:type="dxa" w:w="3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Aşamalı eğitim: önce predictor'ları, sonra routing'i aktive et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Mevcut attention'dan daha düşük performans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PCR'ı full replacement değil, hybrid (attention + PC) olarak sun</w:t>
            </w:r>
          </w:p>
        </w:tc>
      </w:tr>
      <w:tr>
        <w:tc>
          <w:tcPr>
            <w:tcW w:type="dxa" w:w="3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Hesaplama maliyeti kabul edilemez düzeyde yüksek</w:t>
            </w:r>
          </w:p>
        </w:tc>
        <w:tc>
          <w:tcPr>
            <w:tcW w:type="dxa" w:w="1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Düşük</w:t>
            </w:r>
          </w:p>
        </w:tc>
        <w:tc>
          <w:tcPr>
            <w:tcW w:type="dxa" w:w="1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w:t>
            </w:r>
          </w:p>
        </w:tc>
        <w:tc>
          <w:tcPr>
            <w:tcW w:type="dxa" w:w="3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Lineer predictor kullan; kNN sparse aday seçimi uygula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Teorik katkının özgünlüğü sorgulanabilir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Düşük</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"Routing mechanism olarak PCR" açıkça tanımla; literature gap belgele</w:t>
            </w:r>
          </w:p>
        </w:tc>
      </w:tr>
    </w:tbl>
    <w:p>
      <w:r>
        <w:br w:type="page"/>
      </w:r>
    </w:p>
    <w:p>
      <w:pPr>
        <w:shd w:fill="17718A" w:val="clear"/>
        <w:spacing w:after="0" w:before="0"/>
        <w:jc w:val="center"/>
      </w:pPr>
      <w:r>
        <w:rPr>
          <w:rFonts w:ascii="Arial" w:cs="Arial" w:eastAsia="Arial" w:hAnsi="Arial"/>
          <w:b/>
          <w:bCs/>
          <w:color w:val="FFFFFF"/>
          <w:sz w:val="20"/>
          <w:szCs w:val="20"/>
        </w:rPr>
        <w:t xml:space="preserve">ADAY YÖNTEM 2</w:t>
      </w:r>
    </w:p>
    <w:p>
      <w:pPr>
        <w:pStyle w:val="Heading1"/>
        <w:spacing w:after="240" w:before="480"/>
      </w:pPr>
      <w:r>
        <w:rPr>
          <w:rFonts w:ascii="Arial" w:cs="Arial" w:eastAsia="Arial" w:hAnsi="Arial"/>
          <w:b/>
          <w:bCs/>
          <w:color w:val="1B3A6B"/>
          <w:sz w:val="36"/>
          <w:szCs w:val="36"/>
        </w:rPr>
        <w:t xml:space="preserve">3. Lateral Inhibition / Sparse Competitive Routing (LI-SCR)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17718A" w:val="clear"/>
            <w:tcMar>
              <w:top w:type="dxa" w:w="100"/>
              <w:left w:type="dxa" w:w="160"/>
              <w:bottom w:type="dxa" w:w="100"/>
              <w:right w:type="dxa" w:w="160"/>
            </w:tcMar>
          </w:tcPr>
          <w:p>
            <w:r>
              <w:rPr>
                <w:rFonts w:ascii="Arial" w:cs="Arial" w:eastAsia="Arial" w:hAnsi="Arial"/>
                <w:b/>
                <w:bCs/>
                <w:color w:val="FFFFFF"/>
                <w:sz w:val="22"/>
                <w:szCs w:val="22"/>
              </w:rPr>
              <w:t xml:space="preserve">Kısa Tanım</w:t>
            </w:r>
          </w:p>
        </w:tc>
      </w:tr>
      <w:tr>
        <w:tc>
          <w:tcPr>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Lateral Inhibition tabanlı Sparse Competitive Routing (LI-SCR), token'ların birbirleriyle rekabete girmesi ve kazananların bilgi akışını belirlemesi ilkesine dayanır.</w:t>
            </w:r>
          </w:p>
        </w:tc>
      </w:tr>
      <w:tr>
        <w:tc>
          <w:tcPr>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Beyin korteksindeki lateral inhibition mekanizmasından ilham alınmıştır: komşu nöronlar birbirini bastırır, en güçlü sinyal öne çıkar.</w:t>
            </w:r>
          </w:p>
        </w:tc>
      </w:tr>
      <w:tr>
        <w:tc>
          <w:tcPr>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Softmax attention'ın yerini alır; çıkış doğal olarak sparse (seyrek) olur.</w:t>
            </w:r>
          </w:p>
        </w:tc>
      </w:tr>
      <w:tr>
        <w:tc>
          <w:tcPr>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Öğrenme sinyali aktivasyon yoğunluğu ve korelasyonlarından gelir — etiket gerektirmez.</w:t>
            </w:r>
          </w:p>
        </w:tc>
      </w:tr>
    </w:tbl>
    <w:p>
      <w:pPr>
        <w:spacing w:after="0" w:before="80"/>
      </w:pPr>
      <w:r>
        <w:t xml:space="preserve"> </w:t>
      </w:r>
    </w:p>
    <w:p>
      <w:pPr>
        <w:pStyle w:val="Heading2"/>
        <w:pBdr>
          <w:bottom w:val="single" w:color="2E75B6" w:sz="4" w:space="4"/>
        </w:pBdr>
        <w:spacing w:after="180" w:before="360"/>
      </w:pPr>
      <w:r>
        <w:rPr>
          <w:rFonts w:ascii="Arial" w:cs="Arial" w:eastAsia="Arial" w:hAnsi="Arial"/>
          <w:b/>
          <w:bCs/>
          <w:color w:val="2E75B6"/>
          <w:sz w:val="28"/>
          <w:szCs w:val="28"/>
        </w:rPr>
        <w:t xml:space="preserve">3.1 Gerçek Hayat Analojisi</w:t>
      </w:r>
    </w:p>
    <w:p>
      <w:pPr>
        <w:spacing w:after="100" w:before="80"/>
        <w:jc w:val="both"/>
      </w:pPr>
      <w:r>
        <w:rPr>
          <w:rFonts w:ascii="Arial" w:cs="Arial" w:eastAsia="Arial" w:hAnsi="Arial"/>
          <w:b w:val="false"/>
          <w:bCs w:val="false"/>
          <w:i w:val="false"/>
          <w:iCs w:val="false"/>
          <w:color w:val="555555"/>
          <w:sz w:val="22"/>
          <w:szCs w:val="22"/>
        </w:rPr>
        <w:t xml:space="preserve">Bir spor müsabakasındaki eleme sistemi. Yüzlerce sporcu başvurur, ama sahaya yalnızca en iyiler çıkar. Kazananlar belirlenirken diğerler elendiğinde bilgi akışı netleşir. Seçim süreci öğrenilmez — kazanma kuralı rekabettir.</w:t>
      </w:r>
    </w:p>
    <w:p>
      <w:pPr>
        <w:spacing w:after="100" w:before="80"/>
        <w:jc w:val="both"/>
      </w:pPr>
      <w:r>
        <w:rPr>
          <w:rFonts w:ascii="Arial" w:cs="Arial" w:eastAsia="Arial" w:hAnsi="Arial"/>
          <w:b w:val="false"/>
          <w:bCs w:val="false"/>
          <w:i w:val="false"/>
          <w:iCs w:val="false"/>
          <w:color w:val="555555"/>
          <w:sz w:val="22"/>
          <w:szCs w:val="22"/>
        </w:rPr>
        <w:t xml:space="preserve">Daha teknik analoji: görsel korteksteki yönelim sütunları (orientation columns). V1 korteksinde benzer yönelime yanıt veren hücreler birbirleriyle rekabet eder. Yalnızca en güçlü uyaran grubu aktif kalır, diğerleri bastırılır. Bu mekanizma, görüntüdeki kenarları ve yapıları ayrıştırmayı sağlar. LI-SCR bunu token düzeyine taşır.</w:t>
      </w:r>
    </w:p>
    <w:p>
      <w:pPr>
        <w:pStyle w:val="Heading2"/>
        <w:pBdr>
          <w:bottom w:val="single" w:color="2E75B6" w:sz="4" w:space="4"/>
        </w:pBdr>
        <w:spacing w:after="180" w:before="360"/>
      </w:pPr>
      <w:r>
        <w:rPr>
          <w:rFonts w:ascii="Arial" w:cs="Arial" w:eastAsia="Arial" w:hAnsi="Arial"/>
          <w:b/>
          <w:bCs/>
          <w:color w:val="2E75B6"/>
          <w:sz w:val="28"/>
          <w:szCs w:val="28"/>
        </w:rPr>
        <w:t xml:space="preserve">3.2 Attention'ın Çözemediği Neyi Çözüyor?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Sorun</w:t>
            </w:r>
          </w:p>
        </w:tc>
        <w:tc>
          <w:tcPr>
            <w:tcW w:type="dxa" w:w="5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LI-SCR'ın Çözümü</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Softmax tüm token'lara sıfır olmayan ağırlık verir — gerçek anlamda bastırma yok</w:t>
            </w:r>
          </w:p>
        </w:tc>
        <w:tc>
          <w:tcPr>
            <w:tcW w:type="dxa" w:w="5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Rekabet mekanizması: kazananlar dışındakilerin katkısı gerçekten sıfıra yaklaşır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Attention O(n²) hesaplama gerektirir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Sparse çıkış → pratikte O(n log n) veya daha düşük</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Gürültülü token'lar bağlamı kirletir</w:t>
            </w:r>
          </w:p>
        </w:tc>
        <w:tc>
          <w:tcPr>
            <w:tcW w:type="dxa" w:w="5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Aktif olmayan token'lar bilgi akışından çıkar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Attention uniform dağılıma collapse edebilir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Rekabet, uniform collapse'ı önler</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Hesaplama verimliliği için ek mekanizma gerekir</w:t>
            </w:r>
          </w:p>
        </w:tc>
        <w:tc>
          <w:tcPr>
            <w:tcW w:type="dxa" w:w="5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Seyreklik yapısal — ek mekanizma yok</w:t>
            </w:r>
          </w:p>
        </w:tc>
      </w:tr>
    </w:tbl>
    <w:p>
      <w:pPr>
        <w:pStyle w:val="Heading2"/>
        <w:pBdr>
          <w:bottom w:val="single" w:color="2E75B6" w:sz="4" w:space="4"/>
        </w:pBdr>
        <w:spacing w:after="180" w:before="360"/>
      </w:pPr>
      <w:r>
        <w:rPr>
          <w:rFonts w:ascii="Arial" w:cs="Arial" w:eastAsia="Arial" w:hAnsi="Arial"/>
          <w:b/>
          <w:bCs/>
          <w:color w:val="2E75B6"/>
          <w:sz w:val="28"/>
          <w:szCs w:val="28"/>
        </w:rPr>
        <w:t xml:space="preserve">3.3 Matematiksel Arka Plan</w:t>
      </w:r>
    </w:p>
    <w:p>
      <w:pPr>
        <w:pStyle w:val="Heading3"/>
        <w:spacing w:after="120" w:before="280"/>
      </w:pPr>
      <w:r>
        <w:rPr>
          <w:rFonts w:ascii="Arial" w:cs="Arial" w:eastAsia="Arial" w:hAnsi="Arial"/>
          <w:b/>
          <w:bCs/>
          <w:color w:val="17718A"/>
          <w:sz w:val="24"/>
          <w:szCs w:val="24"/>
        </w:rPr>
        <w:t xml:space="preserve">Standart Softmax vs Lateral Inhibition</w:t>
      </w:r>
    </w:p>
    <w:p>
      <w:pPr>
        <w:spacing w:after="100" w:before="80"/>
        <w:jc w:val="both"/>
      </w:pPr>
      <w:r>
        <w:rPr>
          <w:rFonts w:ascii="Arial" w:cs="Arial" w:eastAsia="Arial" w:hAnsi="Arial"/>
          <w:b w:val="false"/>
          <w:bCs w:val="false"/>
          <w:i w:val="false"/>
          <w:iCs w:val="false"/>
          <w:color w:val="555555"/>
          <w:sz w:val="22"/>
          <w:szCs w:val="22"/>
        </w:rPr>
        <w:t xml:space="preserve">Standart softmax:</w:t>
      </w:r>
    </w:p>
    <w:p>
      <w:pPr>
        <w:shd w:fill="F4F4F4" w:val="clear"/>
        <w:spacing w:after="60" w:before="60"/>
        <w:ind w:left="720"/>
      </w:pPr>
      <w:r>
        <w:rPr>
          <w:rFonts w:ascii="Courier New" w:cs="Courier New" w:eastAsia="Courier New" w:hAnsi="Courier New"/>
          <w:color w:val="1A1A1A"/>
          <w:sz w:val="18"/>
          <w:szCs w:val="18"/>
        </w:rPr>
        <w:t xml:space="preserve">αᵢ = exp(sᵢ) / Σⱼ exp(sⱼ)</w:t>
      </w:r>
    </w:p>
    <w:p>
      <w:pPr>
        <w:spacing w:after="100" w:before="80"/>
        <w:jc w:val="both"/>
      </w:pPr>
      <w:r>
        <w:rPr>
          <w:rFonts w:ascii="Arial" w:cs="Arial" w:eastAsia="Arial" w:hAnsi="Arial"/>
          <w:b w:val="false"/>
          <w:bCs w:val="false"/>
          <w:i w:val="false"/>
          <w:iCs w:val="false"/>
          <w:color w:val="555555"/>
          <w:sz w:val="22"/>
          <w:szCs w:val="22"/>
        </w:rPr>
        <w:t xml:space="preserve">Lateral inhibition ile rekabetçi aktivasyon (Wilson-Cowan denklemi tabanlı):</w:t>
      </w:r>
    </w:p>
    <w:p>
      <w:pPr>
        <w:shd w:fill="F4F4F4" w:val="clear"/>
        <w:spacing w:after="60" w:before="60"/>
        <w:ind w:left="720"/>
      </w:pPr>
      <w:r>
        <w:rPr>
          <w:rFonts w:ascii="Courier New" w:cs="Courier New" w:eastAsia="Courier New" w:hAnsi="Courier New"/>
          <w:color w:val="1A1A1A"/>
          <w:sz w:val="18"/>
          <w:szCs w:val="18"/>
        </w:rPr>
        <w:t xml:space="preserve">τ · (dαᵢ/dt) = -αᵢ + ReLU(sᵢ - λ · Σⱼ Wᵢⱼ · αⱼ)</w:t>
      </w:r>
    </w:p>
    <w:p>
      <w:pPr>
        <w:spacing w:after="100" w:before="80"/>
        <w:jc w:val="both"/>
      </w:pPr>
      <w:r>
        <w:rPr>
          <w:rFonts w:ascii="Arial" w:cs="Arial" w:eastAsia="Arial" w:hAnsi="Arial"/>
          <w:b w:val="false"/>
          <w:bCs w:val="false"/>
          <w:i w:val="false"/>
          <w:iCs w:val="false"/>
          <w:color w:val="555555"/>
          <w:sz w:val="22"/>
          <w:szCs w:val="22"/>
        </w:rPr>
        <w:t xml:space="preserve">Burada Wᵢⱼ inhibition matrisi (yakın/benzer token'lar daha fazla birbirini bastırır), λ inhibition şiddetidir.</w:t>
      </w:r>
    </w:p>
    <w:p>
      <w:pPr>
        <w:spacing w:after="100" w:before="80"/>
        <w:jc w:val="both"/>
      </w:pPr>
      <w:r>
        <w:rPr>
          <w:rFonts w:ascii="Arial" w:cs="Arial" w:eastAsia="Arial" w:hAnsi="Arial"/>
          <w:b w:val="false"/>
          <w:bCs w:val="false"/>
          <w:i w:val="false"/>
          <w:iCs w:val="false"/>
          <w:color w:val="555555"/>
          <w:sz w:val="22"/>
          <w:szCs w:val="22"/>
        </w:rPr>
        <w:t xml:space="preserve">Steady-state çözümde yalnızca dominant token'lar sıfır olmayan aktivasyona sahiptir.</w:t>
      </w:r>
    </w:p>
    <w:p>
      <w:pPr>
        <w:spacing w:after="0" w:before="80"/>
      </w:pPr>
      <w:r>
        <w:t xml:space="preserve"> </w:t>
      </w:r>
    </w:p>
    <w:p>
      <w:pPr>
        <w:pStyle w:val="Heading3"/>
        <w:spacing w:after="120" w:before="280"/>
      </w:pPr>
      <w:r>
        <w:rPr>
          <w:rFonts w:ascii="Arial" w:cs="Arial" w:eastAsia="Arial" w:hAnsi="Arial"/>
          <w:b/>
          <w:bCs/>
          <w:color w:val="17718A"/>
          <w:sz w:val="24"/>
          <w:szCs w:val="24"/>
        </w:rPr>
        <w:t xml:space="preserve">Öğrenme Kuralı: Hebbian Güncelleme</w:t>
      </w:r>
    </w:p>
    <w:p>
      <w:pPr>
        <w:shd w:fill="F4F4F4" w:val="clear"/>
        <w:spacing w:after="60" w:before="60"/>
        <w:ind w:left="720"/>
      </w:pPr>
      <w:r>
        <w:rPr>
          <w:rFonts w:ascii="Courier New" w:cs="Courier New" w:eastAsia="Courier New" w:hAnsi="Courier New"/>
          <w:color w:val="1A1A1A"/>
          <w:sz w:val="18"/>
          <w:szCs w:val="18"/>
        </w:rPr>
        <w:t xml:space="preserve">ΔWᵢⱼ = η · αᵢ · αⱼ - γ · Wᵢⱼ</w:t>
      </w:r>
    </w:p>
    <w:p>
      <w:pPr>
        <w:spacing w:after="100" w:before="80"/>
        <w:jc w:val="both"/>
      </w:pPr>
      <w:r>
        <w:rPr>
          <w:rFonts w:ascii="Arial" w:cs="Arial" w:eastAsia="Arial" w:hAnsi="Arial"/>
          <w:b w:val="false"/>
          <w:bCs w:val="false"/>
          <w:i w:val="false"/>
          <w:iCs w:val="false"/>
          <w:color w:val="555555"/>
          <w:sz w:val="22"/>
          <w:szCs w:val="22"/>
        </w:rPr>
        <w:t xml:space="preserve">Birlikte aktif olan token'lar (αᵢ ve αⱼ her ikisi de yüksek), inhibition bağlantılarını güçlendirir. γ weight decay terimi çöküşü önler. Etiket gerektirmez — aktivasyon korelasyonu yeterlidir.</w:t>
      </w:r>
    </w:p>
    <w:p>
      <w:pPr>
        <w:spacing w:after="0" w:before="80"/>
      </w:pPr>
      <w:r>
        <w:t xml:space="preserve"> </w:t>
      </w:r>
    </w:p>
    <w:p>
      <w:pPr>
        <w:pStyle w:val="Heading3"/>
        <w:spacing w:after="120" w:before="280"/>
      </w:pPr>
      <w:r>
        <w:rPr>
          <w:rFonts w:ascii="Arial" w:cs="Arial" w:eastAsia="Arial" w:hAnsi="Arial"/>
          <w:b/>
          <w:bCs/>
          <w:color w:val="17718A"/>
          <w:sz w:val="24"/>
          <w:szCs w:val="24"/>
        </w:rPr>
        <w:t xml:space="preserve">Terminoloji Sözlüğü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Terim</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Açıklama</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Lateral Inhibition</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Komşu nöronların birbirini bastırması. Beyin korteksinin temel organizasyon ilkelerinden biri.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Wilson-Cowan Equations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Rekabetçi nöral dinamikleri modelleyen diferansiyel denklem sistemi (1972). LI-SCR'ın matematiksel temeli.</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Sparse Coding</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Bir temsilin yalnızca az sayıda aktif birim içermesi. Beyinde enerji verimliliğini, yapay sinir ağlarında hesaplama tasarrufunu sağlar.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Inhibition Matrix (Wᵢⱼ)</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Token'lar arasındaki karşılıklı bastırma ağırlıkları. Benzer embedding'lere sahip token'lar daha fazla birbirini bastırır.</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Hebbian Learning</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"Birlikte ateşlenen nöronlar, birlikte bağlanır" ilkesi. Etiket olmadan bağlantı ağırlıklarını günceller.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Winner-Take-All (WTA)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Lateral inhibition'ın limit davranışı: en güçlü aktivasyon tüm çıkışı alır, diğerleri sıfırlanır.</w:t>
            </w:r>
          </w:p>
        </w:tc>
      </w:tr>
    </w:tbl>
    <w:p>
      <w:pPr>
        <w:pStyle w:val="Heading2"/>
        <w:pBdr>
          <w:bottom w:val="single" w:color="2E75B6" w:sz="4" w:space="4"/>
        </w:pBdr>
        <w:spacing w:after="180" w:before="360"/>
      </w:pPr>
      <w:r>
        <w:rPr>
          <w:rFonts w:ascii="Arial" w:cs="Arial" w:eastAsia="Arial" w:hAnsi="Arial"/>
          <w:b/>
          <w:bCs/>
          <w:color w:val="2E75B6"/>
          <w:sz w:val="28"/>
          <w:szCs w:val="28"/>
        </w:rPr>
        <w:t xml:space="preserve">3.4 Literatürde Benzer Çalışmalar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200"/>
        <w:gridCol w:w="48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Çalışma</w:t>
            </w:r>
          </w:p>
        </w:tc>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Yıl</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Yakınlık</w:t>
            </w:r>
          </w:p>
        </w:tc>
        <w:tc>
          <w:tcPr>
            <w:tcW w:type="dxa" w:w="4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Fark</w:t>
            </w:r>
          </w:p>
        </w:tc>
      </w:tr>
      <w:tr>
        <w:tc>
          <w:tcPr>
            <w:tcW w:type="dxa" w:w="2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Olshausen &amp; Field — Sparse Coding</w:t>
            </w:r>
          </w:p>
        </w:tc>
        <w:tc>
          <w:tcPr>
            <w:tcW w:type="dxa" w:w="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1996</w:t>
            </w:r>
          </w:p>
        </w:tc>
        <w:tc>
          <w:tcPr>
            <w:tcW w:type="dxa" w:w="1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 (Temel)</w:t>
            </w:r>
          </w:p>
        </w:tc>
        <w:tc>
          <w:tcPr>
            <w:tcW w:type="dxa" w:w="4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Görsel korteks, transformer değil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Maass — WTA Networks</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2000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Teorik — implementasyon yok</w:t>
            </w:r>
          </w:p>
        </w:tc>
      </w:tr>
      <w:tr>
        <w:tc>
          <w:tcPr>
            <w:tcW w:type="dxa" w:w="2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Correia et al. — Adaptively Sparse Transformers</w:t>
            </w:r>
          </w:p>
        </w:tc>
        <w:tc>
          <w:tcPr>
            <w:tcW w:type="dxa" w:w="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2019</w:t>
            </w:r>
          </w:p>
        </w:tc>
        <w:tc>
          <w:tcPr>
            <w:tcW w:type="dxa" w:w="1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4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Sparsemax kullanır, lateral inhibition değil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Martins &amp; Astudillo — Sparsemax</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2016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Softmax alternatifi, rekabet yok</w:t>
            </w:r>
          </w:p>
        </w:tc>
      </w:tr>
      <w:tr>
        <w:tc>
          <w:tcPr>
            <w:tcW w:type="dxa" w:w="2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Child et al. — Sparse Transformer</w:t>
            </w:r>
          </w:p>
        </w:tc>
        <w:tc>
          <w:tcPr>
            <w:tcW w:type="dxa" w:w="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2019</w:t>
            </w:r>
          </w:p>
        </w:tc>
        <w:tc>
          <w:tcPr>
            <w:tcW w:type="dxa" w:w="1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Düşük</w:t>
            </w:r>
          </w:p>
        </w:tc>
        <w:tc>
          <w:tcPr>
            <w:tcW w:type="dxa" w:w="4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Sabit pattern, dinamik değil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Lotka-Volterra Attention (teorik)</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Yayımlanmamış; rekabet mantığı benzer</w:t>
            </w:r>
          </w:p>
        </w:tc>
      </w:tr>
    </w:tbl>
    <w:p>
      <w:pPr>
        <w:spacing w:after="0" w:before="80"/>
      </w:pPr>
      <w: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2"/>
                <w:szCs w:val="22"/>
              </w:rPr>
              <w:t xml:space="preserve">Özgün Katkı Boşluğu</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Lateral inhibition dinamiklerini transformer attention'ın doğrudan yerine geçiren ve Hebbian kuralıyla etiket olmadan öğrenen bir mimari mevcut değildir.</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Wilson-Cowan denklemlerini transformer katmanına entegre eden ve uzun sekans görevlerinde test eden çalışma yayımlanmamıştır.</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Bu boşluk hem nörobilim hem de verimli AI perspektifinden yüksek katkı potansiyeli taşır.</w:t>
            </w:r>
          </w:p>
        </w:tc>
      </w:tr>
    </w:tbl>
    <w:p>
      <w:pPr>
        <w:pStyle w:val="Heading2"/>
        <w:pBdr>
          <w:bottom w:val="single" w:color="2E75B6" w:sz="4" w:space="4"/>
        </w:pBdr>
        <w:spacing w:after="180" w:before="360"/>
      </w:pPr>
      <w:r>
        <w:rPr>
          <w:rFonts w:ascii="Arial" w:cs="Arial" w:eastAsia="Arial" w:hAnsi="Arial"/>
          <w:b/>
          <w:bCs/>
          <w:color w:val="2E75B6"/>
          <w:sz w:val="28"/>
          <w:szCs w:val="28"/>
        </w:rPr>
        <w:t xml:space="preserve">3.5 Uygulanabilir Veri Setleri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Veri Seti / Alan</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Gerekçe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Long Range Arena (LRA)</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Seyrekliğin avantaj sağlayacağı uzun sekans görevleri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WikiText-103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Dil modelleme — baseline karşılaştırması için standart</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CIFAR-10 (ViT ile)</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Görsel token'lar — orijinal lateral inhibition alanına yakın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Code Understanding (CodeSearchNet)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Kod token'ları doğası gereği sparse yapı içerir</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Mevcut transformer ağırlıkları</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GPT-2 üzerinde attention → LI-SCR değişimi</w:t>
            </w:r>
          </w:p>
        </w:tc>
      </w:tr>
    </w:tbl>
    <w:p>
      <w:pPr>
        <w:pStyle w:val="Heading2"/>
        <w:pBdr>
          <w:bottom w:val="single" w:color="2E75B6" w:sz="4" w:space="4"/>
        </w:pBdr>
        <w:spacing w:after="180" w:before="360"/>
      </w:pPr>
      <w:r>
        <w:rPr>
          <w:rFonts w:ascii="Arial" w:cs="Arial" w:eastAsia="Arial" w:hAnsi="Arial"/>
          <w:b/>
          <w:bCs/>
          <w:color w:val="2E75B6"/>
          <w:sz w:val="28"/>
          <w:szCs w:val="28"/>
        </w:rPr>
        <w:t xml:space="preserve">3.6 Dikkat Edilmesi Gerekenler</w:t>
      </w:r>
    </w:p>
    <w:p>
      <w:pPr>
        <w:pStyle w:val="ListParagraph"/>
        <w:numPr>
          <w:ilvl w:val="0"/>
          <w:numId w:val="2"/>
        </w:numPr>
        <w:spacing w:after="60" w:before="60"/>
      </w:pPr>
      <w:r>
        <w:rPr>
          <w:rFonts w:ascii="Arial" w:cs="Arial" w:eastAsia="Arial" w:hAnsi="Arial"/>
          <w:color w:val="C0392B"/>
          <w:sz w:val="22"/>
          <w:szCs w:val="22"/>
        </w:rPr>
        <w:t xml:space="preserve">Parametre hassasiyeti: λ (inhibition şiddeti) yanlış ayarlanırsa WTA'ya collapse (tek token kazanır, bilgi kaybı) veya uniform aktivasyona (rekabet çalışmıyor) yol açar.</w:t>
      </w:r>
    </w:p>
    <w:p>
      <w:pPr>
        <w:pStyle w:val="ListParagraph"/>
        <w:numPr>
          <w:ilvl w:val="0"/>
          <w:numId w:val="2"/>
        </w:numPr>
        <w:spacing w:after="60" w:before="60"/>
      </w:pPr>
      <w:r>
        <w:rPr>
          <w:rFonts w:ascii="Arial" w:cs="Arial" w:eastAsia="Arial" w:hAnsi="Arial"/>
          <w:color w:val="C0392B"/>
          <w:sz w:val="22"/>
          <w:szCs w:val="22"/>
        </w:rPr>
        <w:t xml:space="preserve">Uzak bağımlılık sorunu: Lateral inhibition yerel bir mekanizmadır. Uzak token'lar arasındaki ilişkiler için ek mekanizma (örn. global context token) gerekebilir.</w:t>
      </w:r>
    </w:p>
    <w:p>
      <w:pPr>
        <w:pStyle w:val="ListParagraph"/>
        <w:numPr>
          <w:ilvl w:val="0"/>
          <w:numId w:val="2"/>
        </w:numPr>
        <w:spacing w:after="60" w:before="60"/>
      </w:pPr>
      <w:r>
        <w:rPr>
          <w:rFonts w:ascii="Arial" w:cs="Arial" w:eastAsia="Arial" w:hAnsi="Arial"/>
          <w:color w:val="D35400"/>
          <w:sz w:val="22"/>
          <w:szCs w:val="22"/>
        </w:rPr>
        <w:t xml:space="preserve">Gradient akışı: Rekabet dinamikleri sürekli türevlenebilir olmayabilir. Straight-through estimator veya relaxed competitor yaklaşımları kullanılabilir.</w:t>
      </w:r>
    </w:p>
    <w:p>
      <w:pPr>
        <w:pStyle w:val="ListParagraph"/>
        <w:numPr>
          <w:ilvl w:val="0"/>
          <w:numId w:val="2"/>
        </w:numPr>
        <w:spacing w:after="60" w:before="60"/>
      </w:pPr>
      <w:r>
        <w:rPr>
          <w:rFonts w:ascii="Arial" w:cs="Arial" w:eastAsia="Arial" w:hAnsi="Arial"/>
          <w:color w:val="D35400"/>
          <w:sz w:val="22"/>
          <w:szCs w:val="22"/>
        </w:rPr>
        <w:t xml:space="preserve">Stabilite: Wilson-Cowan denklemi iteratif çözüm gerektirir. Transformer'ın paralel hesaplama yapısıyla entegrasyon dikkat ister.</w:t>
      </w:r>
    </w:p>
    <w:p>
      <w:pPr>
        <w:pStyle w:val="ListParagraph"/>
        <w:numPr>
          <w:ilvl w:val="0"/>
          <w:numId w:val="2"/>
        </w:numPr>
        <w:spacing w:after="60" w:before="60"/>
      </w:pPr>
      <w:r>
        <w:rPr>
          <w:rFonts w:ascii="Arial" w:cs="Arial" w:eastAsia="Arial" w:hAnsi="Arial"/>
          <w:color w:val="1A7A4A"/>
          <w:sz w:val="22"/>
          <w:szCs w:val="22"/>
        </w:rPr>
        <w:t xml:space="preserve">Güçlü yön: Seyreklik hesaplama verimliliğini artırır — bu, hem akademik hem ticari bir argümandır.</w:t>
      </w:r>
    </w:p>
    <w:p>
      <w:pPr>
        <w:pStyle w:val="Heading2"/>
        <w:pBdr>
          <w:bottom w:val="single" w:color="2E75B6" w:sz="4" w:space="4"/>
        </w:pBdr>
        <w:spacing w:after="180" w:before="360"/>
      </w:pPr>
      <w:r>
        <w:rPr>
          <w:rFonts w:ascii="Arial" w:cs="Arial" w:eastAsia="Arial" w:hAnsi="Arial"/>
          <w:b/>
          <w:bCs/>
          <w:color w:val="2E75B6"/>
          <w:sz w:val="28"/>
          <w:szCs w:val="28"/>
        </w:rPr>
        <w:t xml:space="preserve">3.7 Tez İş Akışı (LI-SCR Seçilirse)</w:t>
      </w:r>
    </w:p>
    <w:p>
      <w:pPr>
        <w:pStyle w:val="ListParagraph"/>
        <w:numPr>
          <w:ilvl w:val="0"/>
          <w:numId w:val="3"/>
        </w:numPr>
        <w:spacing w:after="60" w:before="60"/>
      </w:pPr>
      <w:r>
        <w:rPr>
          <w:rFonts w:ascii="Arial" w:cs="Arial" w:eastAsia="Arial" w:hAnsi="Arial"/>
          <w:color w:val="1B3A6B"/>
          <w:sz w:val="22"/>
          <w:szCs w:val="22"/>
        </w:rPr>
        <w:t xml:space="preserve">Teorik Çerçeve (2 ay): Wilson-Cowan denklemlerini transformer'a adapte et. Steady-state çözümün varlığını ve tekliğini ispatla.</w:t>
      </w:r>
    </w:p>
    <w:p>
      <w:pPr>
        <w:pStyle w:val="ListParagraph"/>
        <w:numPr>
          <w:ilvl w:val="0"/>
          <w:numId w:val="3"/>
        </w:numPr>
        <w:spacing w:after="60" w:before="60"/>
      </w:pPr>
      <w:r>
        <w:rPr>
          <w:rFonts w:ascii="Arial" w:cs="Arial" w:eastAsia="Arial" w:hAnsi="Arial"/>
          <w:color w:val="1B3A6B"/>
          <w:sz w:val="22"/>
          <w:szCs w:val="22"/>
        </w:rPr>
        <w:t xml:space="preserve">Inhibition Matrisi Tasarımı (1.5 ay): Wᵢⱼ başlangıç değerini embedding benzerliğinden türet. Hebbian güncelleme kuralını entegre et.</w:t>
      </w:r>
    </w:p>
    <w:p>
      <w:pPr>
        <w:pStyle w:val="ListParagraph"/>
        <w:numPr>
          <w:ilvl w:val="0"/>
          <w:numId w:val="3"/>
        </w:numPr>
        <w:spacing w:after="60" w:before="60"/>
      </w:pPr>
      <w:r>
        <w:rPr>
          <w:rFonts w:ascii="Arial" w:cs="Arial" w:eastAsia="Arial" w:hAnsi="Arial"/>
          <w:color w:val="1B3A6B"/>
          <w:sz w:val="22"/>
          <w:szCs w:val="22"/>
        </w:rPr>
        <w:t xml:space="preserve">Prototip (2 ay): ViT-Small veya GPT-2 Small üzerinde attention → LI-SCR değişimi. LRA ve WikiText-103'te ilk deneyler.</w:t>
      </w:r>
    </w:p>
    <w:p>
      <w:pPr>
        <w:pStyle w:val="ListParagraph"/>
        <w:numPr>
          <w:ilvl w:val="0"/>
          <w:numId w:val="3"/>
        </w:numPr>
        <w:spacing w:after="60" w:before="60"/>
      </w:pPr>
      <w:r>
        <w:rPr>
          <w:rFonts w:ascii="Arial" w:cs="Arial" w:eastAsia="Arial" w:hAnsi="Arial"/>
          <w:color w:val="1B3A6B"/>
          <w:sz w:val="22"/>
          <w:szCs w:val="22"/>
        </w:rPr>
        <w:t xml:space="preserve">Sparse Efficiency Analizi (1.5 ay): FLOPs karşılaştırması. Etkin seyreklik oranı ölçümü. Memory profiling.</w:t>
      </w:r>
    </w:p>
    <w:p>
      <w:pPr>
        <w:pStyle w:val="ListParagraph"/>
        <w:numPr>
          <w:ilvl w:val="0"/>
          <w:numId w:val="3"/>
        </w:numPr>
        <w:spacing w:after="60" w:before="60"/>
      </w:pPr>
      <w:r>
        <w:rPr>
          <w:rFonts w:ascii="Arial" w:cs="Arial" w:eastAsia="Arial" w:hAnsi="Arial"/>
          <w:color w:val="1B3A6B"/>
          <w:sz w:val="22"/>
          <w:szCs w:val="22"/>
        </w:rPr>
        <w:t xml:space="preserve">Yayın (1 ay): Efficient Transformers veya Neuro-Inspired AI odaklı workshop.</w:t>
      </w:r>
    </w:p>
    <w:p>
      <w:pPr>
        <w:pStyle w:val="Heading2"/>
        <w:pBdr>
          <w:bottom w:val="single" w:color="2E75B6" w:sz="4" w:space="4"/>
        </w:pBdr>
        <w:spacing w:after="180" w:before="360"/>
      </w:pPr>
      <w:r>
        <w:rPr>
          <w:rFonts w:ascii="Arial" w:cs="Arial" w:eastAsia="Arial" w:hAnsi="Arial"/>
          <w:b/>
          <w:bCs/>
          <w:color w:val="2E75B6"/>
          <w:sz w:val="28"/>
          <w:szCs w:val="28"/>
        </w:rPr>
        <w:t xml:space="preserve">3.8 Aday Yayın Önerileri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Venue</w:t>
            </w:r>
          </w:p>
        </w:tc>
        <w:tc>
          <w:tcPr>
            <w:tcW w:type="dxa" w:w="5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Gerekçe</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NeurIPS — Efficient Natural Language Processing Workshop</w:t>
            </w:r>
          </w:p>
        </w:tc>
        <w:tc>
          <w:tcPr>
            <w:tcW w:type="dxa" w:w="5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Seyreklik + verimlilik odağı güçlü match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ICML — Mechanistic Interpretability Workshop</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Lateral inhibition'ın yorumlanabilir yapısı</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Neural Computation (Journal)</w:t>
            </w:r>
          </w:p>
        </w:tc>
        <w:tc>
          <w:tcPr>
            <w:tcW w:type="dxa" w:w="5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Nörobilim-AI kesişim alanı için ideal dergi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ICLR — BrainAI Workshop</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Nöro-ilhamlı mimari çalışmalar için doğru venue</w:t>
            </w:r>
          </w:p>
        </w:tc>
      </w:tr>
    </w:tbl>
    <w:p>
      <w:pPr>
        <w:pStyle w:val="Heading2"/>
        <w:pBdr>
          <w:bottom w:val="single" w:color="2E75B6" w:sz="4" w:space="4"/>
        </w:pBdr>
        <w:spacing w:after="180" w:before="360"/>
      </w:pPr>
      <w:r>
        <w:rPr>
          <w:rFonts w:ascii="Arial" w:cs="Arial" w:eastAsia="Arial" w:hAnsi="Arial"/>
          <w:b/>
          <w:bCs/>
          <w:color w:val="2E75B6"/>
          <w:sz w:val="28"/>
          <w:szCs w:val="28"/>
        </w:rPr>
        <w:t xml:space="preserve">3.9 Jüriye Karşı Güçlü Argümanlar</w:t>
      </w:r>
    </w:p>
    <w:p>
      <w:pPr>
        <w:pStyle w:val="ListParagraph"/>
        <w:numPr>
          <w:ilvl w:val="0"/>
          <w:numId w:val="2"/>
        </w:numPr>
        <w:spacing w:after="60" w:before="60"/>
      </w:pPr>
      <w:r>
        <w:rPr>
          <w:rFonts w:ascii="Arial" w:cs="Arial" w:eastAsia="Arial" w:hAnsi="Arial"/>
          <w:color w:val="1B3A6B"/>
          <w:sz w:val="22"/>
          <w:szCs w:val="22"/>
        </w:rPr>
        <w:t xml:space="preserve">Lateral inhibition, nörobilimde 60 yıldır bilinen bir mekanizmadır. Yapay sinir ağlarına sistematik entegrasyonu hâlâ tamamlanmamıştır — bu boşluk açıkça savunulabilir.</w:t>
      </w:r>
    </w:p>
    <w:p>
      <w:pPr>
        <w:pStyle w:val="ListParagraph"/>
        <w:numPr>
          <w:ilvl w:val="0"/>
          <w:numId w:val="2"/>
        </w:numPr>
        <w:spacing w:after="60" w:before="60"/>
      </w:pPr>
      <w:r>
        <w:rPr>
          <w:rFonts w:ascii="Arial" w:cs="Arial" w:eastAsia="Arial" w:hAnsi="Arial"/>
          <w:color w:val="1B3A6B"/>
          <w:sz w:val="22"/>
          <w:szCs w:val="22"/>
        </w:rPr>
        <w:t xml:space="preserve">Softmax'ın "tüm token'lara sıfır olmayan ağırlık" problemi teorik olarak gösterilebilir. LI-SCR bu sorunu yapısal olarak çözer.</w:t>
      </w:r>
    </w:p>
    <w:p>
      <w:pPr>
        <w:pStyle w:val="ListParagraph"/>
        <w:numPr>
          <w:ilvl w:val="0"/>
          <w:numId w:val="2"/>
        </w:numPr>
        <w:spacing w:after="60" w:before="60"/>
      </w:pPr>
      <w:r>
        <w:rPr>
          <w:rFonts w:ascii="Arial" w:cs="Arial" w:eastAsia="Arial" w:hAnsi="Arial"/>
          <w:color w:val="1B3A6B"/>
          <w:sz w:val="22"/>
          <w:szCs w:val="22"/>
        </w:rPr>
        <w:t xml:space="preserve">Enerji verimliliği argümanı: İnsan beyni ~20W ile çalışır. Sparse coding bunun temel nedenidir. LI-SCR bu ilkeyi yapay sisteme taşır — güçlü bir motivasyon.</w:t>
      </w:r>
    </w:p>
    <w:p>
      <w:pPr>
        <w:pStyle w:val="ListParagraph"/>
        <w:numPr>
          <w:ilvl w:val="0"/>
          <w:numId w:val="2"/>
        </w:numPr>
        <w:spacing w:after="60" w:before="60"/>
      </w:pPr>
      <w:r>
        <w:rPr>
          <w:rFonts w:ascii="Arial" w:cs="Arial" w:eastAsia="Arial" w:hAnsi="Arial"/>
          <w:color w:val="1B3A6B"/>
          <w:sz w:val="22"/>
          <w:szCs w:val="22"/>
        </w:rPr>
        <w:t xml:space="preserve">Etiket gerektirmeyen Hebbian öğrenme kuralı, yöntemin herhangi bir modele uygulanabilirliğini garanti eder.</w:t>
      </w:r>
    </w:p>
    <w:p>
      <w:pPr>
        <w:pStyle w:val="Heading2"/>
        <w:pBdr>
          <w:bottom w:val="single" w:color="2E75B6" w:sz="4" w:space="4"/>
        </w:pBdr>
        <w:spacing w:after="180" w:before="360"/>
      </w:pPr>
      <w:r>
        <w:rPr>
          <w:rFonts w:ascii="Arial" w:cs="Arial" w:eastAsia="Arial" w:hAnsi="Arial"/>
          <w:b/>
          <w:bCs/>
          <w:color w:val="2E75B6"/>
          <w:sz w:val="28"/>
          <w:szCs w:val="28"/>
        </w:rPr>
        <w:t xml:space="preserve">3.10 Risk Analizi ve Çözüm Önerileri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000"/>
        <w:gridCol w:w="38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Risk</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Olasılık</w:t>
            </w:r>
          </w:p>
        </w:tc>
        <w:tc>
          <w:tcPr>
            <w:tcW w:type="dxa" w:w="1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Etki</w:t>
            </w:r>
          </w:p>
        </w:tc>
        <w:tc>
          <w:tcPr>
            <w:tcW w:type="dxa" w:w="3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Çözüm</w:t>
            </w:r>
          </w:p>
        </w:tc>
      </w:tr>
      <w:tr>
        <w:tc>
          <w:tcPr>
            <w:tcW w:type="dxa" w:w="3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WTA collapse — tek token tüm ağırlığı alır</w:t>
            </w:r>
          </w:p>
        </w:tc>
        <w:tc>
          <w:tcPr>
            <w:tcW w:type="dxa" w:w="1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w:t>
            </w:r>
          </w:p>
        </w:tc>
        <w:tc>
          <w:tcPr>
            <w:tcW w:type="dxa" w:w="1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w:t>
            </w:r>
          </w:p>
        </w:tc>
        <w:tc>
          <w:tcPr>
            <w:tcW w:type="dxa" w:w="3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λ'yı adaptif yap; minimum aktivasyon floor koy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Uzak bağımlılık kayıpları</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Global CLS token + LI-SCR hybrid mimari</w:t>
            </w:r>
          </w:p>
        </w:tc>
      </w:tr>
      <w:tr>
        <w:tc>
          <w:tcPr>
            <w:tcW w:type="dxa" w:w="3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Paralel hesaplama kısıtı (iteratif solver)</w:t>
            </w:r>
          </w:p>
        </w:tc>
        <w:tc>
          <w:tcPr>
            <w:tcW w:type="dxa" w:w="1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1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3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Analitik steady-state yaklaşımı; fixed-point iteration limit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Baseline'dan düşük performans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Farklı görevlerde seçici avantaj göster; efficiency tradeoff vurgula</w:t>
            </w:r>
          </w:p>
        </w:tc>
      </w:tr>
    </w:tbl>
    <w:p>
      <w:r>
        <w:br w:type="page"/>
      </w:r>
    </w:p>
    <w:p>
      <w:pPr>
        <w:shd w:fill="6C3483" w:val="clear"/>
        <w:spacing w:after="0" w:before="0"/>
        <w:jc w:val="center"/>
      </w:pPr>
      <w:r>
        <w:rPr>
          <w:rFonts w:ascii="Arial" w:cs="Arial" w:eastAsia="Arial" w:hAnsi="Arial"/>
          <w:b/>
          <w:bCs/>
          <w:color w:val="FFFFFF"/>
          <w:sz w:val="20"/>
          <w:szCs w:val="20"/>
        </w:rPr>
        <w:t xml:space="preserve">ADAY YÖNTEM 3</w:t>
      </w:r>
    </w:p>
    <w:p>
      <w:pPr>
        <w:pStyle w:val="Heading1"/>
        <w:spacing w:after="240" w:before="480"/>
      </w:pPr>
      <w:r>
        <w:rPr>
          <w:rFonts w:ascii="Arial" w:cs="Arial" w:eastAsia="Arial" w:hAnsi="Arial"/>
          <w:b/>
          <w:bCs/>
          <w:color w:val="1B3A6B"/>
          <w:sz w:val="36"/>
          <w:szCs w:val="36"/>
        </w:rPr>
        <w:t xml:space="preserve">4. Resonance-Based Routing (RBR / ART-Transformer)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6C3483" w:val="clear"/>
            <w:tcMar>
              <w:top w:type="dxa" w:w="100"/>
              <w:left w:type="dxa" w:w="160"/>
              <w:bottom w:type="dxa" w:w="100"/>
              <w:right w:type="dxa" w:w="160"/>
            </w:tcMar>
          </w:tcPr>
          <w:p>
            <w:r>
              <w:rPr>
                <w:rFonts w:ascii="Arial" w:cs="Arial" w:eastAsia="Arial" w:hAnsi="Arial"/>
                <w:b/>
                <w:bCs/>
                <w:color w:val="FFFFFF"/>
                <w:sz w:val="22"/>
                <w:szCs w:val="22"/>
              </w:rPr>
              <w:t xml:space="preserve">Kısa Tanım</w:t>
            </w:r>
          </w:p>
        </w:tc>
      </w:tr>
      <w:tr>
        <w:tc>
          <w:tcPr>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Resonance-Based Routing (RBR), Adaptive Resonance Theory (ART) ilkelerini transformer routing mekanizmasına taşır.</w:t>
            </w:r>
          </w:p>
        </w:tc>
      </w:tr>
      <w:tr>
        <w:tc>
          <w:tcPr>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Her token, long-term memory ile karşılaştırılır. "Rezonans" varsa bilgi iletilir; yoksa yeni bir temsil slotu açılır.</w:t>
            </w:r>
          </w:p>
        </w:tc>
      </w:tr>
      <w:tr>
        <w:tc>
          <w:tcPr>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Continual learning için doğal bir yapıdır: yeni kavramlar eski bağlantıları bozmaz.</w:t>
            </w:r>
          </w:p>
        </w:tc>
      </w:tr>
      <w:tr>
        <w:tc>
          <w:tcPr>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Etiket gerektirmez — rezonans eşiği (vigilance parameter) tek kritik hiperparametredir.</w:t>
            </w:r>
          </w:p>
        </w:tc>
      </w:tr>
    </w:tbl>
    <w:p>
      <w:pPr>
        <w:spacing w:after="0" w:before="80"/>
      </w:pPr>
      <w:r>
        <w:t xml:space="preserve"> </w:t>
      </w:r>
    </w:p>
    <w:p>
      <w:pPr>
        <w:pStyle w:val="Heading2"/>
        <w:pBdr>
          <w:bottom w:val="single" w:color="2E75B6" w:sz="4" w:space="4"/>
        </w:pBdr>
        <w:spacing w:after="180" w:before="360"/>
      </w:pPr>
      <w:r>
        <w:rPr>
          <w:rFonts w:ascii="Arial" w:cs="Arial" w:eastAsia="Arial" w:hAnsi="Arial"/>
          <w:b/>
          <w:bCs/>
          <w:color w:val="2E75B6"/>
          <w:sz w:val="28"/>
          <w:szCs w:val="28"/>
        </w:rPr>
        <w:t xml:space="preserve">4.1 Gerçek Hayat Analojisi</w:t>
      </w:r>
    </w:p>
    <w:p>
      <w:pPr>
        <w:spacing w:after="100" w:before="80"/>
        <w:jc w:val="both"/>
      </w:pPr>
      <w:r>
        <w:rPr>
          <w:rFonts w:ascii="Arial" w:cs="Arial" w:eastAsia="Arial" w:hAnsi="Arial"/>
          <w:b w:val="false"/>
          <w:bCs w:val="false"/>
          <w:i w:val="false"/>
          <w:iCs w:val="false"/>
          <w:color w:val="555555"/>
          <w:sz w:val="22"/>
          <w:szCs w:val="22"/>
        </w:rPr>
        <w:t xml:space="preserve">Bir müzisyenin akort işlemi. Gitar teli çalındığında, akort aleti o frekansla "rezonansa girip girmediğini" kontrol eder. Frekans eşiği karşılıyorsa kabullenilir (rezonans). Karşılamıyorsa yeni bir kategori — yeni bir nota — tanımlanır.</w:t>
      </w:r>
    </w:p>
    <w:p>
      <w:pPr>
        <w:spacing w:after="100" w:before="80"/>
        <w:jc w:val="both"/>
      </w:pPr>
      <w:r>
        <w:rPr>
          <w:rFonts w:ascii="Arial" w:cs="Arial" w:eastAsia="Arial" w:hAnsi="Arial"/>
          <w:b w:val="false"/>
          <w:bCs w:val="false"/>
          <w:i w:val="false"/>
          <w:iCs w:val="false"/>
          <w:color w:val="555555"/>
          <w:sz w:val="22"/>
          <w:szCs w:val="22"/>
        </w:rPr>
        <w:t xml:space="preserve">İnsan belleğinden başka bir analoji: Tanıdık bir yüz gördüğünüzde anında "kim bu?" sorusunun cevabı aktivasyon rezonansıyla gelir. Hiç görmediğiniz bir yüz ise beynin yeni bir bellek şeması oluşturmasını tetikler. Catastrophic forgetting yoktur — eski yüzler bellekte bozulmadan kalır.</w:t>
      </w:r>
    </w:p>
    <w:p>
      <w:pPr>
        <w:pStyle w:val="Heading2"/>
        <w:pBdr>
          <w:bottom w:val="single" w:color="2E75B6" w:sz="4" w:space="4"/>
        </w:pBdr>
        <w:spacing w:after="180" w:before="360"/>
      </w:pPr>
      <w:r>
        <w:rPr>
          <w:rFonts w:ascii="Arial" w:cs="Arial" w:eastAsia="Arial" w:hAnsi="Arial"/>
          <w:b/>
          <w:bCs/>
          <w:color w:val="2E75B6"/>
          <w:sz w:val="28"/>
          <w:szCs w:val="28"/>
        </w:rPr>
        <w:t xml:space="preserve">4.2 Attention'ın Çözemediği Neyi Çözüyor?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Sorun</w:t>
            </w:r>
          </w:p>
        </w:tc>
        <w:tc>
          <w:tcPr>
            <w:tcW w:type="dxa" w:w="5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RBR'ın Çözümü</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Continual learning'de catastrophic forgetting</w:t>
            </w:r>
          </w:p>
        </w:tc>
        <w:tc>
          <w:tcPr>
            <w:tcW w:type="dxa" w:w="5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Resonance/mismatch karar mekanizması eski temsilleri korur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Yeni kavramla karşılaşıldığında tüm model güncellenir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Mismatch → yeni slot; mevcut ağırlıklar dokunulmaz</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Attention benzer olmayan token'ları ilişkilendiremez</w:t>
            </w:r>
          </w:p>
        </w:tc>
        <w:tc>
          <w:tcPr>
            <w:tcW w:type="dxa" w:w="5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Rezonans eşiği — benzer olmayan ama uyumlu olanlar da bağlanabilir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Token öneminin yorumlanması güç</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Rezonans skoru açık bir karar sınırı sunar</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Transfer learning sınırları</w:t>
            </w:r>
          </w:p>
        </w:tc>
        <w:tc>
          <w:tcPr>
            <w:tcW w:type="dxa" w:w="5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Slot sistemi domain'ler arası bilgi transferini yapılandırır</w:t>
            </w:r>
          </w:p>
        </w:tc>
      </w:tr>
    </w:tbl>
    <w:p>
      <w:pPr>
        <w:pStyle w:val="Heading2"/>
        <w:pBdr>
          <w:bottom w:val="single" w:color="2E75B6" w:sz="4" w:space="4"/>
        </w:pBdr>
        <w:spacing w:after="180" w:before="360"/>
      </w:pPr>
      <w:r>
        <w:rPr>
          <w:rFonts w:ascii="Arial" w:cs="Arial" w:eastAsia="Arial" w:hAnsi="Arial"/>
          <w:b/>
          <w:bCs/>
          <w:color w:val="2E75B6"/>
          <w:sz w:val="28"/>
          <w:szCs w:val="28"/>
        </w:rPr>
        <w:t xml:space="preserve">4.3 Matematiksel Arka Plan</w:t>
      </w:r>
    </w:p>
    <w:p>
      <w:pPr>
        <w:pStyle w:val="Heading3"/>
        <w:spacing w:after="120" w:before="280"/>
      </w:pPr>
      <w:r>
        <w:rPr>
          <w:rFonts w:ascii="Arial" w:cs="Arial" w:eastAsia="Arial" w:hAnsi="Arial"/>
          <w:b/>
          <w:bCs/>
          <w:color w:val="17718A"/>
          <w:sz w:val="24"/>
          <w:szCs w:val="24"/>
        </w:rPr>
        <w:t xml:space="preserve">Rezonans Skoru</w:t>
      </w:r>
    </w:p>
    <w:p>
      <w:pPr>
        <w:spacing w:after="100" w:before="80"/>
        <w:jc w:val="both"/>
      </w:pPr>
      <w:r>
        <w:rPr>
          <w:rFonts w:ascii="Arial" w:cs="Arial" w:eastAsia="Arial" w:hAnsi="Arial"/>
          <w:b w:val="false"/>
          <w:bCs w:val="false"/>
          <w:i w:val="false"/>
          <w:iCs w:val="false"/>
          <w:color w:val="555555"/>
          <w:sz w:val="22"/>
          <w:szCs w:val="22"/>
        </w:rPr>
        <w:t xml:space="preserve">ART'ın orijinal match fonksiyonu:</w:t>
      </w:r>
    </w:p>
    <w:p>
      <w:pPr>
        <w:shd w:fill="F4F4F4" w:val="clear"/>
        <w:spacing w:after="60" w:before="60"/>
        <w:ind w:left="720"/>
      </w:pPr>
      <w:r>
        <w:rPr>
          <w:rFonts w:ascii="Courier New" w:cs="Courier New" w:eastAsia="Courier New" w:hAnsi="Courier New"/>
          <w:color w:val="1A1A1A"/>
          <w:sz w:val="18"/>
          <w:szCs w:val="18"/>
        </w:rPr>
        <w:t xml:space="preserve">M(xᵢ, wⱼ) = ‖xᵢ ∧ wⱼ‖ / ‖xᵢ‖</w:t>
      </w:r>
    </w:p>
    <w:p>
      <w:pPr>
        <w:spacing w:after="100" w:before="80"/>
        <w:jc w:val="both"/>
      </w:pPr>
      <w:r>
        <w:rPr>
          <w:rFonts w:ascii="Arial" w:cs="Arial" w:eastAsia="Arial" w:hAnsi="Arial"/>
          <w:b w:val="false"/>
          <w:bCs w:val="false"/>
          <w:i w:val="false"/>
          <w:iCs w:val="false"/>
          <w:color w:val="555555"/>
          <w:sz w:val="22"/>
          <w:szCs w:val="22"/>
        </w:rPr>
        <w:t xml:space="preserve">Transformer bağlamına adaptasyon:</w:t>
      </w:r>
    </w:p>
    <w:p>
      <w:pPr>
        <w:shd w:fill="F4F4F4" w:val="clear"/>
        <w:spacing w:after="60" w:before="60"/>
        <w:ind w:left="720"/>
      </w:pPr>
      <w:r>
        <w:rPr>
          <w:rFonts w:ascii="Courier New" w:cs="Courier New" w:eastAsia="Courier New" w:hAnsi="Courier New"/>
          <w:color w:val="1A1A1A"/>
          <w:sz w:val="18"/>
          <w:szCs w:val="18"/>
        </w:rPr>
        <w:t xml:space="preserve">resonance(i, j) = (eᵢ · mⱼ) / (‖mⱼ‖ + β)</w:t>
      </w:r>
    </w:p>
    <w:p>
      <w:pPr>
        <w:spacing w:after="100" w:before="80"/>
        <w:jc w:val="both"/>
      </w:pPr>
      <w:r>
        <w:rPr>
          <w:rFonts w:ascii="Arial" w:cs="Arial" w:eastAsia="Arial" w:hAnsi="Arial"/>
          <w:b w:val="false"/>
          <w:bCs w:val="false"/>
          <w:i w:val="false"/>
          <w:iCs w:val="false"/>
          <w:color w:val="555555"/>
          <w:sz w:val="22"/>
          <w:szCs w:val="22"/>
        </w:rPr>
        <w:t xml:space="preserve">Burada eᵢ token i'nin embedding vektörü, mⱼ memory bank'teki j. şema vektörüdür. β sayısal stabilite sabitidir.</w:t>
      </w:r>
    </w:p>
    <w:p>
      <w:pPr>
        <w:spacing w:after="0" w:before="80"/>
      </w:pPr>
      <w:r>
        <w:t xml:space="preserve"> </w:t>
      </w:r>
    </w:p>
    <w:p>
      <w:pPr>
        <w:pStyle w:val="Heading3"/>
        <w:spacing w:after="120" w:before="280"/>
      </w:pPr>
      <w:r>
        <w:rPr>
          <w:rFonts w:ascii="Arial" w:cs="Arial" w:eastAsia="Arial" w:hAnsi="Arial"/>
          <w:b/>
          <w:bCs/>
          <w:color w:val="17718A"/>
          <w:sz w:val="24"/>
          <w:szCs w:val="24"/>
        </w:rPr>
        <w:t xml:space="preserve">Karar Mekanizması</w:t>
      </w:r>
    </w:p>
    <w:p>
      <w:pPr>
        <w:shd w:fill="F4F4F4" w:val="clear"/>
        <w:spacing w:after="60" w:before="60"/>
        <w:ind w:left="720"/>
      </w:pPr>
      <w:r>
        <w:rPr>
          <w:rFonts w:ascii="Courier New" w:cs="Courier New" w:eastAsia="Courier New" w:hAnsi="Courier New"/>
          <w:color w:val="1A1A1A"/>
          <w:sz w:val="18"/>
          <w:szCs w:val="18"/>
        </w:rPr>
        <w:t xml:space="preserve">eğer max_j resonance(i, j) ≥ θ  →  RESONANCE  →  bilgi ilet</w:t>
      </w:r>
    </w:p>
    <w:p>
      <w:pPr>
        <w:shd w:fill="F4F4F4" w:val="clear"/>
        <w:spacing w:after="60" w:before="60"/>
        <w:ind w:left="720"/>
      </w:pPr>
      <w:r>
        <w:rPr>
          <w:rFonts w:ascii="Courier New" w:cs="Courier New" w:eastAsia="Courier New" w:hAnsi="Courier New"/>
          <w:color w:val="1A1A1A"/>
          <w:sz w:val="18"/>
          <w:szCs w:val="18"/>
        </w:rPr>
        <w:t xml:space="preserve">eğer max_j resonance(i, j) &lt; θ   →  MISMATCH   →  yeni slot aç</w:t>
      </w:r>
    </w:p>
    <w:p>
      <w:pPr>
        <w:spacing w:after="100" w:before="80"/>
        <w:jc w:val="both"/>
      </w:pPr>
      <w:r>
        <w:rPr>
          <w:rFonts w:ascii="Arial" w:cs="Arial" w:eastAsia="Arial" w:hAnsi="Arial"/>
          <w:b w:val="false"/>
          <w:bCs w:val="false"/>
          <w:i w:val="false"/>
          <w:iCs w:val="false"/>
          <w:color w:val="555555"/>
          <w:sz w:val="22"/>
          <w:szCs w:val="22"/>
        </w:rPr>
        <w:t xml:space="preserve">θ (vigilance parameter): yüksek θ → daha spesifik kategoriler, daha fazla slot. Düşük θ → genel kategoriler, daha az slot.</w:t>
      </w:r>
    </w:p>
    <w:p>
      <w:pPr>
        <w:spacing w:after="0" w:before="80"/>
      </w:pPr>
      <w:r>
        <w:t xml:space="preserve"> </w:t>
      </w:r>
    </w:p>
    <w:p>
      <w:pPr>
        <w:pStyle w:val="Heading3"/>
        <w:spacing w:after="120" w:before="280"/>
      </w:pPr>
      <w:r>
        <w:rPr>
          <w:rFonts w:ascii="Arial" w:cs="Arial" w:eastAsia="Arial" w:hAnsi="Arial"/>
          <w:b/>
          <w:bCs/>
          <w:color w:val="17718A"/>
          <w:sz w:val="24"/>
          <w:szCs w:val="24"/>
        </w:rPr>
        <w:t xml:space="preserve">Routing Mekanizması</w:t>
      </w:r>
    </w:p>
    <w:p>
      <w:pPr>
        <w:spacing w:after="100" w:before="80"/>
        <w:jc w:val="both"/>
      </w:pPr>
      <w:r>
        <w:rPr>
          <w:rFonts w:ascii="Arial" w:cs="Arial" w:eastAsia="Arial" w:hAnsi="Arial"/>
          <w:b w:val="false"/>
          <w:bCs w:val="false"/>
          <w:i w:val="false"/>
          <w:iCs w:val="false"/>
          <w:color w:val="555555"/>
          <w:sz w:val="22"/>
          <w:szCs w:val="22"/>
        </w:rPr>
        <w:t xml:space="preserve">Rezonans kararı verildikten sonra routing:</w:t>
      </w:r>
    </w:p>
    <w:p>
      <w:pPr>
        <w:shd w:fill="F4F4F4" w:val="clear"/>
        <w:spacing w:after="60" w:before="60"/>
        <w:ind w:left="720"/>
      </w:pPr>
      <w:r>
        <w:rPr>
          <w:rFonts w:ascii="Courier New" w:cs="Courier New" w:eastAsia="Courier New" w:hAnsi="Courier New"/>
          <w:color w:val="1A1A1A"/>
          <w:sz w:val="18"/>
          <w:szCs w:val="18"/>
        </w:rPr>
        <w:t xml:space="preserve">αᵢⱼ = resonance(i, j) · 𝟙[resonance(i, j) ≥ θ] / Z</w:t>
      </w:r>
    </w:p>
    <w:p>
      <w:pPr>
        <w:shd w:fill="F4F4F4" w:val="clear"/>
        <w:spacing w:after="60" w:before="60"/>
        <w:ind w:left="720"/>
      </w:pPr>
      <w:r>
        <w:rPr>
          <w:rFonts w:ascii="Courier New" w:cs="Courier New" w:eastAsia="Courier New" w:hAnsi="Courier New"/>
          <w:color w:val="1A1A1A"/>
          <w:sz w:val="18"/>
          <w:szCs w:val="18"/>
        </w:rPr>
        <w:t xml:space="preserve">Z = Σⱼ resonance(i, j) · 𝟙[resonance(i, j) ≥ θ]    (normalizasyon)</w:t>
      </w:r>
    </w:p>
    <w:p>
      <w:pPr>
        <w:shd w:fill="F4F4F4" w:val="clear"/>
        <w:spacing w:after="60" w:before="60"/>
        <w:ind w:left="720"/>
      </w:pPr>
      <w:r>
        <w:rPr>
          <w:rFonts w:ascii="Courier New" w:cs="Courier New" w:eastAsia="Courier New" w:hAnsi="Courier New"/>
          <w:color w:val="1A1A1A"/>
          <w:sz w:val="18"/>
          <w:szCs w:val="18"/>
        </w:rPr>
        <w:t xml:space="preserve">output_i = Σⱼ αᵢⱼ · vⱼ</w:t>
      </w:r>
    </w:p>
    <w:p>
      <w:pPr>
        <w:spacing w:after="0" w:before="80"/>
      </w:pPr>
      <w:r>
        <w:t xml:space="preserve"> </w:t>
      </w:r>
    </w:p>
    <w:p>
      <w:pPr>
        <w:pStyle w:val="Heading3"/>
        <w:spacing w:after="120" w:before="280"/>
      </w:pPr>
      <w:r>
        <w:rPr>
          <w:rFonts w:ascii="Arial" w:cs="Arial" w:eastAsia="Arial" w:hAnsi="Arial"/>
          <w:b/>
          <w:bCs/>
          <w:color w:val="17718A"/>
          <w:sz w:val="24"/>
          <w:szCs w:val="24"/>
        </w:rPr>
        <w:t xml:space="preserve">Terminoloji Sözlüğü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Terim</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Açıklama</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Adaptive Resonance Theory (ART)</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Grossberg (1980) tarafından geliştirilen, rezonans ve uyumsuzluk kararlarına dayalı sinir ağı ailesi.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Vigilance Parameter (θ)</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Rezonans eşiği. Yüksek θ: ince ayrımlar, çok kategori. Düşük θ: kaba sınıflandırma, az kategori.</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Resonance</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Gelen girdi ile bellek şeması arasındaki uyum. Eşik aşılırsa bağlantı kurulur.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Mismatch</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Uyumsuzluk kararı. Hiçbir bellek şemasıyla rezonans sağlanamadığında yeni slot açılır.</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Memory Slot / Schema</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Uzun vadeli belleğin bir birimi. Her kavram veya kategori ayrı bir slota karşılık gelir.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Catastrophic Forgetting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Sürekli öğrenmede yeni bilgi öğrenilirken eski bilginin silinmesi problemi. ART bunu yapısal olarak önler.</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Stability-Plasticity Dilemma</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Öğrenme sistemlerinin yeni şeyleri öğrenirken eskiyi koruması zorluğu. ART'ın temel çözdüğü problem.</w:t>
            </w:r>
          </w:p>
        </w:tc>
      </w:tr>
    </w:tbl>
    <w:p>
      <w:pPr>
        <w:pStyle w:val="Heading2"/>
        <w:pBdr>
          <w:bottom w:val="single" w:color="2E75B6" w:sz="4" w:space="4"/>
        </w:pBdr>
        <w:spacing w:after="180" w:before="360"/>
      </w:pPr>
      <w:r>
        <w:rPr>
          <w:rFonts w:ascii="Arial" w:cs="Arial" w:eastAsia="Arial" w:hAnsi="Arial"/>
          <w:b/>
          <w:bCs/>
          <w:color w:val="2E75B6"/>
          <w:sz w:val="28"/>
          <w:szCs w:val="28"/>
        </w:rPr>
        <w:t xml:space="preserve">4.4 Literatürde Benzer Çalışmalar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200"/>
        <w:gridCol w:w="48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Çalışma</w:t>
            </w:r>
          </w:p>
        </w:tc>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Yıl</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Yakınlık</w:t>
            </w:r>
          </w:p>
        </w:tc>
        <w:tc>
          <w:tcPr>
            <w:tcW w:type="dxa" w:w="4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Fark</w:t>
            </w:r>
          </w:p>
        </w:tc>
      </w:tr>
      <w:tr>
        <w:tc>
          <w:tcPr>
            <w:tcW w:type="dxa" w:w="2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Grossberg — ART 1/2/3</w:t>
            </w:r>
          </w:p>
        </w:tc>
        <w:tc>
          <w:tcPr>
            <w:tcW w:type="dxa" w:w="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1980–1991</w:t>
            </w:r>
          </w:p>
        </w:tc>
        <w:tc>
          <w:tcPr>
            <w:tcW w:type="dxa" w:w="1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 (Temel)</w:t>
            </w:r>
          </w:p>
        </w:tc>
        <w:tc>
          <w:tcPr>
            <w:tcW w:type="dxa" w:w="4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Klasik ANN, transformer değil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Carpenter &amp; Grossberg — ARTMAP</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1991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Supervised versiyon; etiketsiz değil</w:t>
            </w:r>
          </w:p>
        </w:tc>
      </w:tr>
      <w:tr>
        <w:tc>
          <w:tcPr>
            <w:tcW w:type="dxa" w:w="2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Sitzmann et al. — Scene Representation</w:t>
            </w:r>
          </w:p>
        </w:tc>
        <w:tc>
          <w:tcPr>
            <w:tcW w:type="dxa" w:w="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2020</w:t>
            </w:r>
          </w:p>
        </w:tc>
        <w:tc>
          <w:tcPr>
            <w:tcW w:type="dxa" w:w="1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Düşük</w:t>
            </w:r>
          </w:p>
        </w:tc>
        <w:tc>
          <w:tcPr>
            <w:tcW w:type="dxa" w:w="4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Slot attention kullanır; ART değil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Locatello et al. — Slot Attention</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2020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Benzer slot mantığı; rezonans yok</w:t>
            </w:r>
          </w:p>
        </w:tc>
      </w:tr>
      <w:tr>
        <w:tc>
          <w:tcPr>
            <w:tcW w:type="dxa" w:w="2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Hebb — Organization of Behavior</w:t>
            </w:r>
          </w:p>
        </w:tc>
        <w:tc>
          <w:tcPr>
            <w:tcW w:type="dxa" w:w="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1949</w:t>
            </w:r>
          </w:p>
        </w:tc>
        <w:tc>
          <w:tcPr>
            <w:tcW w:type="dxa" w:w="1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Teorik temel</w:t>
            </w:r>
          </w:p>
        </w:tc>
        <w:tc>
          <w:tcPr>
            <w:tcW w:type="dxa" w:w="4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Öğrenme kuralı; routing değil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Wang et al. — Progressive Neural Net</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2016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Düşük</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Continual learning; ART değil</w:t>
            </w:r>
          </w:p>
        </w:tc>
      </w:tr>
    </w:tbl>
    <w:p>
      <w:pPr>
        <w:spacing w:after="0" w:before="80"/>
      </w:pPr>
      <w: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6C3483" w:val="clear"/>
            <w:tcMar>
              <w:top w:type="dxa" w:w="100"/>
              <w:left w:type="dxa" w:w="160"/>
              <w:bottom w:type="dxa" w:w="100"/>
              <w:right w:type="dxa" w:w="160"/>
            </w:tcMar>
          </w:tcPr>
          <w:p>
            <w:r>
              <w:rPr>
                <w:rFonts w:ascii="Arial" w:cs="Arial" w:eastAsia="Arial" w:hAnsi="Arial"/>
                <w:b/>
                <w:bCs/>
                <w:color w:val="FFFFFF"/>
                <w:sz w:val="22"/>
                <w:szCs w:val="22"/>
              </w:rPr>
              <w:t xml:space="preserve">Özgün Katkı Boşluğu</w:t>
            </w:r>
          </w:p>
        </w:tc>
      </w:tr>
      <w:tr>
        <w:tc>
          <w:tcPr>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ART mekanizmasını modern transformer routing'e entegre eden ve continual learning garantisi sağlayan mimari mevcut değildir.</w:t>
            </w:r>
          </w:p>
        </w:tc>
      </w:tr>
      <w:tr>
        <w:tc>
          <w:tcPr>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Slot Attention ile ART'ın birleşimi çalışılmamıştır.</w:t>
            </w:r>
          </w:p>
        </w:tc>
      </w:tr>
      <w:tr>
        <w:tc>
          <w:tcPr>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Bu yöntem özellikle sürekli öğrenme gerektiren B2B senaryolar için güçlü pratik motivasyon sunar.</w:t>
            </w:r>
          </w:p>
        </w:tc>
      </w:tr>
    </w:tbl>
    <w:p>
      <w:pPr>
        <w:pStyle w:val="Heading2"/>
        <w:pBdr>
          <w:bottom w:val="single" w:color="2E75B6" w:sz="4" w:space="4"/>
        </w:pBdr>
        <w:spacing w:after="180" w:before="360"/>
      </w:pPr>
      <w:r>
        <w:rPr>
          <w:rFonts w:ascii="Arial" w:cs="Arial" w:eastAsia="Arial" w:hAnsi="Arial"/>
          <w:b/>
          <w:bCs/>
          <w:color w:val="2E75B6"/>
          <w:sz w:val="28"/>
          <w:szCs w:val="28"/>
        </w:rPr>
        <w:t xml:space="preserve">4.5 Uygulanabilir Veri Setleri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Veri Seti / Alan</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Gerekçe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Split-MNIST / Split-CIFAR (Continual Learning)</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RBR'ın asıl güç göstereceği alan: ardışık görev öğrenimi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Permuted MNIST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Standart catastrophic forgetting benchmark</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WikiText-103 (streaming)</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Sürekli güncellenen metin akışı — slot sistemi testi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Cross-domain NLP (MNLI → QQP)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Domain değişimi senaryosu — eski bilgi korunuyor mu?</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Mevcut fine-tuned model ağırlıkları</w:t>
            </w:r>
          </w:p>
        </w:tc>
        <w:tc>
          <w:tcPr>
            <w:tcW w:type="dxa" w:w="6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Continual fine-tuning senaryosu için</w:t>
            </w:r>
          </w:p>
        </w:tc>
      </w:tr>
    </w:tbl>
    <w:p>
      <w:pPr>
        <w:pStyle w:val="Heading2"/>
        <w:pBdr>
          <w:bottom w:val="single" w:color="2E75B6" w:sz="4" w:space="4"/>
        </w:pBdr>
        <w:spacing w:after="180" w:before="360"/>
      </w:pPr>
      <w:r>
        <w:rPr>
          <w:rFonts w:ascii="Arial" w:cs="Arial" w:eastAsia="Arial" w:hAnsi="Arial"/>
          <w:b/>
          <w:bCs/>
          <w:color w:val="2E75B6"/>
          <w:sz w:val="28"/>
          <w:szCs w:val="28"/>
        </w:rPr>
        <w:t xml:space="preserve">4.6 Dikkat Edilmesi Gerekenler</w:t>
      </w:r>
    </w:p>
    <w:p>
      <w:pPr>
        <w:pStyle w:val="ListParagraph"/>
        <w:numPr>
          <w:ilvl w:val="0"/>
          <w:numId w:val="2"/>
        </w:numPr>
        <w:spacing w:after="60" w:before="60"/>
      </w:pPr>
      <w:r>
        <w:rPr>
          <w:rFonts w:ascii="Arial" w:cs="Arial" w:eastAsia="Arial" w:hAnsi="Arial"/>
          <w:color w:val="C0392B"/>
          <w:sz w:val="22"/>
          <w:szCs w:val="22"/>
        </w:rPr>
        <w:t xml:space="preserve">Vigilance parameter hassasiyeti: θ yanlış ayarlanırsa ya çok az slot (her şey tek kategoriye girer) ya da çok fazla slot (her token yeni bir kategori açar) sorunu yaşanır.</w:t>
      </w:r>
    </w:p>
    <w:p>
      <w:pPr>
        <w:pStyle w:val="ListParagraph"/>
        <w:numPr>
          <w:ilvl w:val="0"/>
          <w:numId w:val="2"/>
        </w:numPr>
        <w:spacing w:after="60" w:before="60"/>
      </w:pPr>
      <w:r>
        <w:rPr>
          <w:rFonts w:ascii="Arial" w:cs="Arial" w:eastAsia="Arial" w:hAnsi="Arial"/>
          <w:color w:val="C0392B"/>
          <w:sz w:val="22"/>
          <w:szCs w:val="22"/>
        </w:rPr>
        <w:t xml:space="preserve">Ölçeklenebilirlik: Slot sayısı arttıkça rezonans hesabı yavaşlar. Büyük dil modellerinde slot bütçesi yönetimi kritik bir tasarım kararıdır.</w:t>
      </w:r>
    </w:p>
    <w:p>
      <w:pPr>
        <w:pStyle w:val="ListParagraph"/>
        <w:numPr>
          <w:ilvl w:val="0"/>
          <w:numId w:val="2"/>
        </w:numPr>
        <w:spacing w:after="60" w:before="60"/>
      </w:pPr>
      <w:r>
        <w:rPr>
          <w:rFonts w:ascii="Arial" w:cs="Arial" w:eastAsia="Arial" w:hAnsi="Arial"/>
          <w:color w:val="D35400"/>
          <w:sz w:val="22"/>
          <w:szCs w:val="22"/>
        </w:rPr>
        <w:t xml:space="preserve">Paralel hesaplama: ART sekansiyel karar mekanizmasına dayanır. Transformer'ın paralel yapısıyla entegrasyon özel tasarım gerektirir.</w:t>
      </w:r>
    </w:p>
    <w:p>
      <w:pPr>
        <w:pStyle w:val="ListParagraph"/>
        <w:numPr>
          <w:ilvl w:val="0"/>
          <w:numId w:val="2"/>
        </w:numPr>
        <w:spacing w:after="60" w:before="60"/>
      </w:pPr>
      <w:r>
        <w:rPr>
          <w:rFonts w:ascii="Arial" w:cs="Arial" w:eastAsia="Arial" w:hAnsi="Arial"/>
          <w:color w:val="D35400"/>
          <w:sz w:val="22"/>
          <w:szCs w:val="22"/>
        </w:rPr>
        <w:t xml:space="preserve">Teorik yenilik riski düşük: ART 40+ yıllık bir teoridir. Katkının "mevcut teorinin transformer'a adaptasyonu" olduğu açıkça konumlandırılmalıdır.</w:t>
      </w:r>
    </w:p>
    <w:p>
      <w:pPr>
        <w:pStyle w:val="ListParagraph"/>
        <w:numPr>
          <w:ilvl w:val="0"/>
          <w:numId w:val="2"/>
        </w:numPr>
        <w:spacing w:after="60" w:before="60"/>
      </w:pPr>
      <w:r>
        <w:rPr>
          <w:rFonts w:ascii="Arial" w:cs="Arial" w:eastAsia="Arial" w:hAnsi="Arial"/>
          <w:color w:val="1A7A4A"/>
          <w:sz w:val="22"/>
          <w:szCs w:val="22"/>
        </w:rPr>
        <w:t xml:space="preserve">Güçlü yön: Continual learning problemi endüstriyel AI'ın en büyük açmazlarından biridir. Pratik motivasyon son derece güçlü.</w:t>
      </w:r>
    </w:p>
    <w:p>
      <w:pPr>
        <w:pStyle w:val="Heading2"/>
        <w:pBdr>
          <w:bottom w:val="single" w:color="2E75B6" w:sz="4" w:space="4"/>
        </w:pBdr>
        <w:spacing w:after="180" w:before="360"/>
      </w:pPr>
      <w:r>
        <w:rPr>
          <w:rFonts w:ascii="Arial" w:cs="Arial" w:eastAsia="Arial" w:hAnsi="Arial"/>
          <w:b/>
          <w:bCs/>
          <w:color w:val="2E75B6"/>
          <w:sz w:val="28"/>
          <w:szCs w:val="28"/>
        </w:rPr>
        <w:t xml:space="preserve">4.7 Tez İş Akışı (RBR Seçilirse)</w:t>
      </w:r>
    </w:p>
    <w:p>
      <w:pPr>
        <w:pStyle w:val="ListParagraph"/>
        <w:numPr>
          <w:ilvl w:val="0"/>
          <w:numId w:val="3"/>
        </w:numPr>
        <w:spacing w:after="60" w:before="60"/>
      </w:pPr>
      <w:r>
        <w:rPr>
          <w:rFonts w:ascii="Arial" w:cs="Arial" w:eastAsia="Arial" w:hAnsi="Arial"/>
          <w:color w:val="1B3A6B"/>
          <w:sz w:val="22"/>
          <w:szCs w:val="22"/>
        </w:rPr>
        <w:t xml:space="preserve">ART → Transformer Adaptasyonu (2 ay): Rezonans fonksiyonunu differansiyelleştirilebilir yap. Vigilance scheduler tasarla.</w:t>
      </w:r>
    </w:p>
    <w:p>
      <w:pPr>
        <w:pStyle w:val="ListParagraph"/>
        <w:numPr>
          <w:ilvl w:val="0"/>
          <w:numId w:val="3"/>
        </w:numPr>
        <w:spacing w:after="60" w:before="60"/>
      </w:pPr>
      <w:r>
        <w:rPr>
          <w:rFonts w:ascii="Arial" w:cs="Arial" w:eastAsia="Arial" w:hAnsi="Arial"/>
          <w:color w:val="1B3A6B"/>
          <w:sz w:val="22"/>
          <w:szCs w:val="22"/>
        </w:rPr>
        <w:t xml:space="preserve">Slot Yönetim Sistemi (2 ay): Slot bütçesi. Merge/prune stratejisi. Bellek bankası boyutu ablasyonu.</w:t>
      </w:r>
    </w:p>
    <w:p>
      <w:pPr>
        <w:pStyle w:val="ListParagraph"/>
        <w:numPr>
          <w:ilvl w:val="0"/>
          <w:numId w:val="3"/>
        </w:numPr>
        <w:spacing w:after="60" w:before="60"/>
      </w:pPr>
      <w:r>
        <w:rPr>
          <w:rFonts w:ascii="Arial" w:cs="Arial" w:eastAsia="Arial" w:hAnsi="Arial"/>
          <w:color w:val="1B3A6B"/>
          <w:sz w:val="22"/>
          <w:szCs w:val="22"/>
        </w:rPr>
        <w:t xml:space="preserve">Continual Learning Benchmark (2 ay): Split-MNIST, Split-CIFAR, Permuted MNIST. EWC ve Progressiv Neural Net ile karşılaştırma.</w:t>
      </w:r>
    </w:p>
    <w:p>
      <w:pPr>
        <w:pStyle w:val="ListParagraph"/>
        <w:numPr>
          <w:ilvl w:val="0"/>
          <w:numId w:val="3"/>
        </w:numPr>
        <w:spacing w:after="60" w:before="60"/>
      </w:pPr>
      <w:r>
        <w:rPr>
          <w:rFonts w:ascii="Arial" w:cs="Arial" w:eastAsia="Arial" w:hAnsi="Arial"/>
          <w:color w:val="1B3A6B"/>
          <w:sz w:val="22"/>
          <w:szCs w:val="22"/>
        </w:rPr>
        <w:t xml:space="preserve">NLP Görevleri (1.5 ay): Domain-shift senaryoları. Streaming WikiText.</w:t>
      </w:r>
    </w:p>
    <w:p>
      <w:pPr>
        <w:pStyle w:val="ListParagraph"/>
        <w:numPr>
          <w:ilvl w:val="0"/>
          <w:numId w:val="3"/>
        </w:numPr>
        <w:spacing w:after="60" w:before="60"/>
      </w:pPr>
      <w:r>
        <w:rPr>
          <w:rFonts w:ascii="Arial" w:cs="Arial" w:eastAsia="Arial" w:hAnsi="Arial"/>
          <w:color w:val="1B3A6B"/>
          <w:sz w:val="22"/>
          <w:szCs w:val="22"/>
        </w:rPr>
        <w:t xml:space="preserve">Yayın (0.5 ay): Continual Learning workshop veya NeurIPS.</w:t>
      </w:r>
    </w:p>
    <w:p>
      <w:pPr>
        <w:pStyle w:val="Heading2"/>
        <w:pBdr>
          <w:bottom w:val="single" w:color="2E75B6" w:sz="4" w:space="4"/>
        </w:pBdr>
        <w:spacing w:after="180" w:before="360"/>
      </w:pPr>
      <w:r>
        <w:rPr>
          <w:rFonts w:ascii="Arial" w:cs="Arial" w:eastAsia="Arial" w:hAnsi="Arial"/>
          <w:b/>
          <w:bCs/>
          <w:color w:val="2E75B6"/>
          <w:sz w:val="28"/>
          <w:szCs w:val="28"/>
        </w:rPr>
        <w:t xml:space="preserve">4.8 Aday Yayın Önerileri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Venue</w:t>
            </w:r>
          </w:p>
        </w:tc>
        <w:tc>
          <w:tcPr>
            <w:tcW w:type="dxa" w:w="5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Gerekçe</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NeurIPS — Continual Lifelong Learning Workshop</w:t>
            </w:r>
          </w:p>
        </w:tc>
        <w:tc>
          <w:tcPr>
            <w:tcW w:type="dxa" w:w="5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RBR'ın en güçlü uygulama alanı</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ICLR — Workshop on Enormous Language Models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Transformer mimarisi değişikliği için doğru kalabalık</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Neural Networks (Journal — Elsevier)</w:t>
            </w:r>
          </w:p>
        </w:tc>
        <w:tc>
          <w:tcPr>
            <w:tcW w:type="dxa" w:w="5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ART'ın kökeni bu dergi — teorik katkı için güçlü venue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AAAI — AI Alignment ve Robustness Track</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Continual learning + güvenlik argümanı</w:t>
            </w:r>
          </w:p>
        </w:tc>
      </w:tr>
    </w:tbl>
    <w:p>
      <w:pPr>
        <w:pStyle w:val="Heading2"/>
        <w:pBdr>
          <w:bottom w:val="single" w:color="2E75B6" w:sz="4" w:space="4"/>
        </w:pBdr>
        <w:spacing w:after="180" w:before="360"/>
      </w:pPr>
      <w:r>
        <w:rPr>
          <w:rFonts w:ascii="Arial" w:cs="Arial" w:eastAsia="Arial" w:hAnsi="Arial"/>
          <w:b/>
          <w:bCs/>
          <w:color w:val="2E75B6"/>
          <w:sz w:val="28"/>
          <w:szCs w:val="28"/>
        </w:rPr>
        <w:t xml:space="preserve">4.9 Jüriye Karşı Güçlü Argümanlar</w:t>
      </w:r>
    </w:p>
    <w:p>
      <w:pPr>
        <w:pStyle w:val="ListParagraph"/>
        <w:numPr>
          <w:ilvl w:val="0"/>
          <w:numId w:val="2"/>
        </w:numPr>
        <w:spacing w:after="60" w:before="60"/>
      </w:pPr>
      <w:r>
        <w:rPr>
          <w:rFonts w:ascii="Arial" w:cs="Arial" w:eastAsia="Arial" w:hAnsi="Arial"/>
          <w:color w:val="1B3A6B"/>
          <w:sz w:val="22"/>
          <w:szCs w:val="22"/>
        </w:rPr>
        <w:t xml:space="preserve">Catastrophic forgetting, modern AI'ın çözümsüz kalan en kritik problemlerinden biridir. RBR bu probleme mimariden çözüm sunar — jüriye pratik önemi açıkça gösterilebilir.</w:t>
      </w:r>
    </w:p>
    <w:p>
      <w:pPr>
        <w:pStyle w:val="ListParagraph"/>
        <w:numPr>
          <w:ilvl w:val="0"/>
          <w:numId w:val="2"/>
        </w:numPr>
        <w:spacing w:after="60" w:before="60"/>
      </w:pPr>
      <w:r>
        <w:rPr>
          <w:rFonts w:ascii="Arial" w:cs="Arial" w:eastAsia="Arial" w:hAnsi="Arial"/>
          <w:color w:val="1B3A6B"/>
          <w:sz w:val="22"/>
          <w:szCs w:val="22"/>
        </w:rPr>
        <w:t xml:space="preserve">40 yıllık nörobilim teorisini modern mimariye taşımak; hem "köklü temel" hem "yeni uygulama" argümanını eş zamanlı kullanmayı sağlar.</w:t>
      </w:r>
    </w:p>
    <w:p>
      <w:pPr>
        <w:pStyle w:val="ListParagraph"/>
        <w:numPr>
          <w:ilvl w:val="0"/>
          <w:numId w:val="2"/>
        </w:numPr>
        <w:spacing w:after="60" w:before="60"/>
      </w:pPr>
      <w:r>
        <w:rPr>
          <w:rFonts w:ascii="Arial" w:cs="Arial" w:eastAsia="Arial" w:hAnsi="Arial"/>
          <w:color w:val="1B3A6B"/>
          <w:sz w:val="22"/>
          <w:szCs w:val="22"/>
        </w:rPr>
        <w:t xml:space="preserve">Vigilance parameter, sezgisel ve yorumlanabilirdir. "Model ne kadar yeni kategoriye ihtiyaç duyuyor?" sorusu basitçe açıklanabilir.</w:t>
      </w:r>
    </w:p>
    <w:p>
      <w:pPr>
        <w:pStyle w:val="ListParagraph"/>
        <w:numPr>
          <w:ilvl w:val="0"/>
          <w:numId w:val="2"/>
        </w:numPr>
        <w:spacing w:after="60" w:before="60"/>
      </w:pPr>
      <w:r>
        <w:rPr>
          <w:rFonts w:ascii="Arial" w:cs="Arial" w:eastAsia="Arial" w:hAnsi="Arial"/>
          <w:color w:val="1B3A6B"/>
          <w:sz w:val="22"/>
          <w:szCs w:val="22"/>
        </w:rPr>
        <w:t xml:space="preserve">Mevcut modele uygulanabilirlik: RBR, herhangi bir transformer'ın üstüne bir "continual layer" olarak konumlandırılabilir — yeni eğitim gerektirmez.</w:t>
      </w:r>
    </w:p>
    <w:p>
      <w:pPr>
        <w:pStyle w:val="Heading2"/>
        <w:pBdr>
          <w:bottom w:val="single" w:color="2E75B6" w:sz="4" w:space="4"/>
        </w:pBdr>
        <w:spacing w:after="180" w:before="360"/>
      </w:pPr>
      <w:r>
        <w:rPr>
          <w:rFonts w:ascii="Arial" w:cs="Arial" w:eastAsia="Arial" w:hAnsi="Arial"/>
          <w:b/>
          <w:bCs/>
          <w:color w:val="2E75B6"/>
          <w:sz w:val="28"/>
          <w:szCs w:val="28"/>
        </w:rPr>
        <w:t xml:space="preserve">4.10 Risk Analizi ve Çözüm Önerileri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000"/>
        <w:gridCol w:w="38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Risk</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Olasılık</w:t>
            </w:r>
          </w:p>
        </w:tc>
        <w:tc>
          <w:tcPr>
            <w:tcW w:type="dxa" w:w="1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Etki</w:t>
            </w:r>
          </w:p>
        </w:tc>
        <w:tc>
          <w:tcPr>
            <w:tcW w:type="dxa" w:w="3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Çözüm</w:t>
            </w:r>
          </w:p>
        </w:tc>
      </w:tr>
      <w:tr>
        <w:tc>
          <w:tcPr>
            <w:tcW w:type="dxa" w:w="3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Slot patlaması — sonsuz yeni slot açılması</w:t>
            </w:r>
          </w:p>
        </w:tc>
        <w:tc>
          <w:tcPr>
            <w:tcW w:type="dxa" w:w="1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w:t>
            </w:r>
          </w:p>
        </w:tc>
        <w:tc>
          <w:tcPr>
            <w:tcW w:type="dxa" w:w="1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w:t>
            </w:r>
          </w:p>
        </w:tc>
        <w:tc>
          <w:tcPr>
            <w:tcW w:type="dxa" w:w="3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Slot bütçesi + periyodik merge/prune stratejisi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Sekansiyel karar → paralel hesaplama kısıtı</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Approximate parallel resonance; batch vigilance check</w:t>
            </w:r>
          </w:p>
        </w:tc>
      </w:tr>
      <w:tr>
        <w:tc>
          <w:tcPr>
            <w:tcW w:type="dxa" w:w="3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Teorik özgünlük sorgulanabilir (eski teori)</w:t>
            </w:r>
          </w:p>
        </w:tc>
        <w:tc>
          <w:tcPr>
            <w:tcW w:type="dxa" w:w="1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1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3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Contribution = "transformer routing olarak ART" açıkça tanımla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Vigilance tuning için guide yok</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Düşük</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Adaptive vigilance scheduler veya meta-learning ile otomatik ayar</w:t>
            </w:r>
          </w:p>
        </w:tc>
      </w:tr>
    </w:tbl>
    <w:p>
      <w:r>
        <w:br w:type="page"/>
      </w:r>
    </w:p>
    <w:p>
      <w:pPr>
        <w:pStyle w:val="Heading1"/>
        <w:spacing w:after="240" w:before="480"/>
      </w:pPr>
      <w:r>
        <w:rPr>
          <w:rFonts w:ascii="Arial" w:cs="Arial" w:eastAsia="Arial" w:hAnsi="Arial"/>
          <w:b/>
          <w:bCs/>
          <w:color w:val="1B3A6B"/>
          <w:sz w:val="36"/>
          <w:szCs w:val="36"/>
        </w:rPr>
        <w:t xml:space="preserve">5. Karşılaştırmalı Analiz</w:t>
      </w:r>
    </w:p>
    <w:p>
      <w:pPr>
        <w:spacing w:after="100" w:before="80"/>
        <w:jc w:val="both"/>
      </w:pPr>
      <w:r>
        <w:rPr>
          <w:rFonts w:ascii="Arial" w:cs="Arial" w:eastAsia="Arial" w:hAnsi="Arial"/>
          <w:b w:val="false"/>
          <w:bCs w:val="false"/>
          <w:i w:val="false"/>
          <w:iCs w:val="false"/>
          <w:color w:val="555555"/>
          <w:sz w:val="22"/>
          <w:szCs w:val="22"/>
        </w:rPr>
        <w:t xml:space="preserve">Üç yöntemin farklı boyutlarda sistematik karşılaştırması aşağıda sunulmaktadır.</w:t>
      </w:r>
    </w:p>
    <w:p>
      <w:pPr>
        <w:spacing w:after="0" w:before="80"/>
      </w:pPr>
      <w: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Kriter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PCR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LI-SCR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RBR</w:t>
            </w:r>
          </w:p>
        </w:tc>
      </w:tr>
      <w:tr>
        <w:tc>
          <w:tcPr>
            <w:tcW w:type="dxa" w:w="3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Routing sinyali</w:t>
            </w:r>
          </w:p>
        </w:tc>
        <w:tc>
          <w:tcPr>
            <w:tcW w:type="dxa" w:w="2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Tahmin hatası</w:t>
            </w:r>
          </w:p>
        </w:tc>
        <w:tc>
          <w:tcPr>
            <w:tcW w:type="dxa" w:w="2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Rekabet/aktivasyon</w:t>
            </w:r>
          </w:p>
        </w:tc>
        <w:tc>
          <w:tcPr>
            <w:tcW w:type="dxa" w:w="2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Rezonans skoru</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Öğrenme sinyali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Prediction error (self)</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Aktivasyon korelasyonu</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Match/mismatch kararı</w:t>
            </w:r>
          </w:p>
        </w:tc>
      </w:tr>
      <w:tr>
        <w:tc>
          <w:tcPr>
            <w:tcW w:type="dxa" w:w="3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Seyreklik (Sparsity)</w:t>
            </w:r>
          </w:p>
        </w:tc>
        <w:tc>
          <w:tcPr>
            <w:tcW w:type="dxa" w:w="2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Hayır (ek mekanizma gerek)</w:t>
            </w:r>
          </w:p>
        </w:tc>
        <w:tc>
          <w:tcPr>
            <w:tcW w:type="dxa" w:w="2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Yapısal ✅</w:t>
            </w:r>
          </w:p>
        </w:tc>
        <w:tc>
          <w:tcPr>
            <w:tcW w:type="dxa" w:w="2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Yapısal ✅</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Continual learning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Zayıf</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Zayıf</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Güçlü ✅</w:t>
            </w:r>
          </w:p>
        </w:tc>
      </w:tr>
      <w:tr>
        <w:tc>
          <w:tcPr>
            <w:tcW w:type="dxa" w:w="3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Teorik derinlik</w:t>
            </w:r>
          </w:p>
        </w:tc>
        <w:tc>
          <w:tcPr>
            <w:tcW w:type="dxa" w:w="2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Çok güçlü (FEP)</w:t>
            </w:r>
          </w:p>
        </w:tc>
        <w:tc>
          <w:tcPr>
            <w:tcW w:type="dxa" w:w="2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Güçlü (W-C Eq.)</w:t>
            </w:r>
          </w:p>
        </w:tc>
        <w:tc>
          <w:tcPr>
            <w:tcW w:type="dxa" w:w="2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 (40 yıl eskisi)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Mevcut modele uyum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Kolay ✅</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Kolay ✅</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r>
      <w:tr>
        <w:tc>
          <w:tcPr>
            <w:tcW w:type="dxa" w:w="3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Hesaplama maliyeti</w:t>
            </w:r>
          </w:p>
        </w:tc>
        <w:tc>
          <w:tcPr>
            <w:tcW w:type="dxa" w:w="2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 ⚠️</w:t>
            </w:r>
          </w:p>
        </w:tc>
        <w:tc>
          <w:tcPr>
            <w:tcW w:type="dxa" w:w="2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2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Interpretability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 ✅</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 ✅</w:t>
            </w:r>
          </w:p>
        </w:tc>
      </w:tr>
      <w:tr>
        <w:tc>
          <w:tcPr>
            <w:tcW w:type="dxa" w:w="3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Özgün katkı potansiyeli</w:t>
            </w:r>
          </w:p>
        </w:tc>
        <w:tc>
          <w:tcPr>
            <w:tcW w:type="dxa" w:w="2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w:t>
            </w:r>
          </w:p>
        </w:tc>
        <w:tc>
          <w:tcPr>
            <w:tcW w:type="dxa" w:w="2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w:t>
            </w:r>
          </w:p>
        </w:tc>
        <w:tc>
          <w:tcPr>
            <w:tcW w:type="dxa" w:w="2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Yayın güçlüğü</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Düşük</w:t>
            </w:r>
          </w:p>
        </w:tc>
      </w:tr>
      <w:tr>
        <w:tc>
          <w:tcPr>
            <w:tcW w:type="dxa" w:w="3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Endüstriyel ilgi</w:t>
            </w:r>
          </w:p>
        </w:tc>
        <w:tc>
          <w:tcPr>
            <w:tcW w:type="dxa" w:w="2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w:t>
            </w:r>
          </w:p>
        </w:tc>
        <w:tc>
          <w:tcPr>
            <w:tcW w:type="dxa" w:w="2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Yüksek</w:t>
            </w:r>
          </w:p>
        </w:tc>
        <w:tc>
          <w:tcPr>
            <w:tcW w:type="dxa" w:w="2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Çok Yüksek</w:t>
            </w:r>
          </w:p>
        </w:tc>
      </w:tr>
    </w:tbl>
    <w:p>
      <w:pPr>
        <w:spacing w:after="0" w:before="80"/>
      </w:pPr>
      <w: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856404" w:val="clear"/>
            <w:tcMar>
              <w:top w:type="dxa" w:w="100"/>
              <w:left w:type="dxa" w:w="160"/>
              <w:bottom w:type="dxa" w:w="100"/>
              <w:right w:type="dxa" w:w="160"/>
            </w:tcMar>
          </w:tcPr>
          <w:p>
            <w:r>
              <w:rPr>
                <w:rFonts w:ascii="Arial" w:cs="Arial" w:eastAsia="Arial" w:hAnsi="Arial"/>
                <w:b/>
                <w:bCs/>
                <w:color w:val="FFFFFF"/>
                <w:sz w:val="22"/>
                <w:szCs w:val="22"/>
              </w:rPr>
              <w:t xml:space="preserve">Tavsiye</w:t>
            </w:r>
          </w:p>
        </w:tc>
      </w:tr>
      <w:tr>
        <w:tc>
          <w:tcPr>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Teorik derinlik ve özgün katkı öncelikliyse: Predictive Coding Routing (PCR)</w:t>
            </w:r>
          </w:p>
        </w:tc>
      </w:tr>
      <w:tr>
        <w:tc>
          <w:tcPr>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Hesaplama verimliliği ve pratik uygulanabilirlik öncelikliyse: Lateral Inhibition / LI-SCR</w:t>
            </w:r>
          </w:p>
        </w:tc>
      </w:tr>
      <w:tr>
        <w:tc>
          <w:tcPr>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Continual learning ve endüstriyel etki öncelikliyse: Resonance-Based Routing (RBR)</w:t>
            </w:r>
          </w:p>
        </w:tc>
      </w:tr>
      <w:tr>
        <w:tc>
          <w:tcPr>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pPr>
              <w:spacing w:after="40" w:before="40"/>
            </w:pPr>
            <w:r>
              <w:rPr>
                <w:rFonts w:ascii="Arial" w:cs="Arial" w:eastAsia="Arial" w:hAnsi="Arial"/>
                <w:color w:val="555555"/>
                <w:sz w:val="21"/>
                <w:szCs w:val="21"/>
              </w:rPr>
              <w:t xml:space="preserve">İdeal strateji: PCR teorik çekirdek olarak, LI-SCR verimlilik katmanı olarak — ikisi hibrid mimaride birleştirilir.</w:t>
            </w:r>
          </w:p>
        </w:tc>
      </w:tr>
    </w:tbl>
    <w:p>
      <w:r>
        <w:br w:type="page"/>
      </w:r>
    </w:p>
    <w:p>
      <w:pPr>
        <w:pStyle w:val="Heading1"/>
        <w:spacing w:after="240" w:before="480"/>
      </w:pPr>
      <w:r>
        <w:rPr>
          <w:rFonts w:ascii="Arial" w:cs="Arial" w:eastAsia="Arial" w:hAnsi="Arial"/>
          <w:b/>
          <w:bCs/>
          <w:color w:val="1B3A6B"/>
          <w:sz w:val="36"/>
          <w:szCs w:val="36"/>
        </w:rPr>
        <w:t xml:space="preserve">6. Tüm Yöntemler için Ortak Dikkat Edilmesi Gerekenler</w:t>
      </w:r>
    </w:p>
    <w:p>
      <w:pPr>
        <w:pStyle w:val="ListParagraph"/>
        <w:numPr>
          <w:ilvl w:val="0"/>
          <w:numId w:val="2"/>
        </w:numPr>
        <w:spacing w:after="60" w:before="60"/>
      </w:pPr>
      <w:r>
        <w:rPr>
          <w:rFonts w:ascii="Arial" w:cs="Arial" w:eastAsia="Arial" w:hAnsi="Arial"/>
          <w:color w:val="1B3A6B"/>
          <w:sz w:val="22"/>
          <w:szCs w:val="22"/>
        </w:rPr>
        <w:t xml:space="preserve">Baseline seçimi kritiktir: Her yöntem için karşılaştırılan temel model sabit olmalı (GPT-2 Small önerilir — açık kaynak, iyi belgelenmiş, geniş literatür).</w:t>
      </w:r>
    </w:p>
    <w:p>
      <w:pPr>
        <w:pStyle w:val="ListParagraph"/>
        <w:numPr>
          <w:ilvl w:val="0"/>
          <w:numId w:val="2"/>
        </w:numPr>
        <w:spacing w:after="60" w:before="60"/>
      </w:pPr>
      <w:r>
        <w:rPr>
          <w:rFonts w:ascii="Arial" w:cs="Arial" w:eastAsia="Arial" w:hAnsi="Arial"/>
          <w:color w:val="1B3A6B"/>
          <w:sz w:val="22"/>
          <w:szCs w:val="22"/>
        </w:rPr>
        <w:t xml:space="preserve">Ablation study zorunludur: Yöntemin hangi bileşeninin performansı getirdiği ayrıştırılmalı. Aksi hâlde jüri "attention değişikliği değil başka faktör" itirazı yapabilir.</w:t>
      </w:r>
    </w:p>
    <w:p>
      <w:pPr>
        <w:pStyle w:val="ListParagraph"/>
        <w:numPr>
          <w:ilvl w:val="0"/>
          <w:numId w:val="2"/>
        </w:numPr>
        <w:spacing w:after="60" w:before="60"/>
      </w:pPr>
      <w:r>
        <w:rPr>
          <w:rFonts w:ascii="Arial" w:cs="Arial" w:eastAsia="Arial" w:hAnsi="Arial"/>
          <w:color w:val="1B3A6B"/>
          <w:sz w:val="22"/>
          <w:szCs w:val="22"/>
        </w:rPr>
        <w:t xml:space="preserve">Etiket yokluğunun belgelenmesi: Öğrenme sinyalinin sadece modelin kendi aktivasyonlarından geldiği matematiksel olarak gösterilmeli.</w:t>
      </w:r>
    </w:p>
    <w:p>
      <w:pPr>
        <w:pStyle w:val="ListParagraph"/>
        <w:numPr>
          <w:ilvl w:val="0"/>
          <w:numId w:val="2"/>
        </w:numPr>
        <w:spacing w:after="60" w:before="60"/>
      </w:pPr>
      <w:r>
        <w:rPr>
          <w:rFonts w:ascii="Arial" w:cs="Arial" w:eastAsia="Arial" w:hAnsi="Arial"/>
          <w:color w:val="1B3A6B"/>
          <w:sz w:val="22"/>
          <w:szCs w:val="22"/>
        </w:rPr>
        <w:t xml:space="preserve">Hesaplama karşılaştırması: FLOPs ve wall-clock time karşılaştırması olmadan "verimli" iddiası savunulamaz.</w:t>
      </w:r>
    </w:p>
    <w:p>
      <w:pPr>
        <w:pStyle w:val="ListParagraph"/>
        <w:numPr>
          <w:ilvl w:val="0"/>
          <w:numId w:val="2"/>
        </w:numPr>
        <w:spacing w:after="60" w:before="60"/>
      </w:pPr>
      <w:r>
        <w:rPr>
          <w:rFonts w:ascii="Arial" w:cs="Arial" w:eastAsia="Arial" w:hAnsi="Arial"/>
          <w:color w:val="1A7A4A"/>
          <w:sz w:val="22"/>
          <w:szCs w:val="22"/>
        </w:rPr>
        <w:t xml:space="preserve">Negatif sonuçlar da yayına gider: Yöntem attention'ı geçemese bile, hangi görevlerde başarılı hangi görevlerde başarısız olduğu bağımsız bir katkıdır.</w:t>
      </w:r>
    </w:p>
    <w:p>
      <w:r>
        <w:br w:type="page"/>
      </w:r>
    </w:p>
    <w:p>
      <w:pPr>
        <w:pStyle w:val="Heading1"/>
        <w:spacing w:after="240" w:before="480"/>
      </w:pPr>
      <w:r>
        <w:rPr>
          <w:rFonts w:ascii="Arial" w:cs="Arial" w:eastAsia="Arial" w:hAnsi="Arial"/>
          <w:b/>
          <w:bCs/>
          <w:color w:val="1B3A6B"/>
          <w:sz w:val="36"/>
          <w:szCs w:val="36"/>
        </w:rPr>
        <w:t xml:space="preserve">7. Önerilen Tez İş Akışı (Genel)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Dönem</w:t>
            </w:r>
          </w:p>
        </w:tc>
        <w:tc>
          <w:tcPr>
            <w:tcW w:type="dxa" w:w="7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Aşama &amp; Çıktı</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Dönem 1 (Ay 1–3)</w:t>
            </w:r>
          </w:p>
        </w:tc>
        <w:tc>
          <w:tcPr>
            <w:tcW w:type="dxa" w:w="7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Literatür taraması tamamla. Seçilen yöntemin matematiksel çerçevesini oluştur. Tez önerisini jüriye sun.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Dönem 1 (Ay 4–6)</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GPT-2 Small üzerinde prototip implementasyon. İlk deneyler + ablasyon. Birinci makale taslağı.</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Dönem 2 (Ay 7–9)</w:t>
            </w:r>
          </w:p>
        </w:tc>
        <w:tc>
          <w:tcPr>
            <w:tcW w:type="dxa" w:w="7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Sistematik benchmark. GLUE / LRA / WikiText. Hesaplama analizi. Birinci makale submission.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Dönem 2 (Ay 10–12)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Yöntem refinement. Hibrid mimari denemeleri. İkinci makale taslağı.</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Dönem 3 (Ay 13–15)</w:t>
            </w:r>
          </w:p>
        </w:tc>
        <w:tc>
          <w:tcPr>
            <w:tcW w:type="dxa" w:w="7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İkinci makale submission. Tez yazımı başlangıcı.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Dönem 3–4 (Ay 16–18)</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555555"/>
                <w:sz w:val="21"/>
                <w:szCs w:val="21"/>
              </w:rPr>
              <w:t xml:space="preserve">Tez yazımı tamamlama. Jüri savunması hazırlığı.</w:t>
            </w:r>
          </w:p>
        </w:tc>
      </w:tr>
    </w:tbl>
    <w:p>
      <w:r>
        <w:br w:type="page"/>
      </w:r>
    </w:p>
    <w:p>
      <w:pPr>
        <w:pStyle w:val="Heading1"/>
        <w:spacing w:after="240" w:before="480"/>
      </w:pPr>
      <w:r>
        <w:rPr>
          <w:rFonts w:ascii="Arial" w:cs="Arial" w:eastAsia="Arial" w:hAnsi="Arial"/>
          <w:b/>
          <w:bCs/>
          <w:color w:val="1B3A6B"/>
          <w:sz w:val="36"/>
          <w:szCs w:val="36"/>
        </w:rPr>
        <w:t xml:space="preserve">8. Aday Yayın Önerileri (Tüm Yöntemler)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200"/>
        <w:gridCol w:w="250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Venue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Tür</w:t>
            </w:r>
          </w:p>
        </w:tc>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Hedef Yöntem</w:t>
            </w:r>
          </w:p>
        </w:tc>
        <w:tc>
          <w:tcPr>
            <w:tcW w:type="dxa" w:w="25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Öncelik</w:t>
            </w:r>
          </w:p>
        </w:tc>
      </w:tr>
      <w:tr>
        <w:tc>
          <w:tcPr>
            <w:tcW w:type="dxa" w:w="2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ICLR</w:t>
            </w:r>
          </w:p>
        </w:tc>
        <w:tc>
          <w:tcPr>
            <w:tcW w:type="dxa" w:w="15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Konferans (A*)</w:t>
            </w:r>
          </w:p>
        </w:tc>
        <w:tc>
          <w:tcPr>
            <w:tcW w:type="dxa" w:w="2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PCR, LI-SCR</w:t>
            </w:r>
          </w:p>
        </w:tc>
        <w:tc>
          <w:tcPr>
            <w:tcW w:type="dxa" w:w="25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1. Öncelik</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NeurIPS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Konferans (A*)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PCR, RBR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1. Öncelik</w:t>
            </w:r>
          </w:p>
        </w:tc>
      </w:tr>
      <w:tr>
        <w:tc>
          <w:tcPr>
            <w:tcW w:type="dxa" w:w="2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ICML</w:t>
            </w:r>
          </w:p>
        </w:tc>
        <w:tc>
          <w:tcPr>
            <w:tcW w:type="dxa" w:w="15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Konferans (A*)</w:t>
            </w:r>
          </w:p>
        </w:tc>
        <w:tc>
          <w:tcPr>
            <w:tcW w:type="dxa" w:w="2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PCR, LI-SCR</w:t>
            </w:r>
          </w:p>
        </w:tc>
        <w:tc>
          <w:tcPr>
            <w:tcW w:type="dxa" w:w="25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2. Öncelik</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TMLR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Dergi (sürekli)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PCR (teori)</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Paralel submission</w:t>
            </w:r>
          </w:p>
        </w:tc>
      </w:tr>
      <w:tr>
        <w:tc>
          <w:tcPr>
            <w:tcW w:type="dxa" w:w="2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Neural Computation</w:t>
            </w:r>
          </w:p>
        </w:tc>
        <w:tc>
          <w:tcPr>
            <w:tcW w:type="dxa" w:w="15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Dergi</w:t>
            </w:r>
          </w:p>
        </w:tc>
        <w:tc>
          <w:tcPr>
            <w:tcW w:type="dxa" w:w="2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RBR, LI-SCR</w:t>
            </w:r>
          </w:p>
        </w:tc>
        <w:tc>
          <w:tcPr>
            <w:tcW w:type="dxa" w:w="25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2. Öncelik</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NeurIPS Workshop (Eff. NLP)</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Workshop</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LI-SCR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Hızlı geri bildirim</w:t>
            </w:r>
          </w:p>
        </w:tc>
      </w:tr>
      <w:tr>
        <w:tc>
          <w:tcPr>
            <w:tcW w:type="dxa" w:w="2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ICLR Workshop (BrainAI)</w:t>
            </w:r>
          </w:p>
        </w:tc>
        <w:tc>
          <w:tcPr>
            <w:tcW w:type="dxa" w:w="15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Workshop</w:t>
            </w:r>
          </w:p>
        </w:tc>
        <w:tc>
          <w:tcPr>
            <w:tcW w:type="dxa" w:w="2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Tüm yöntemler</w:t>
            </w:r>
          </w:p>
        </w:tc>
        <w:tc>
          <w:tcPr>
            <w:tcW w:type="dxa" w:w="25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Erken aşama için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ACL Findings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Konferans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NLP odaklı sonuçlar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3. Öncelik</w:t>
            </w:r>
          </w:p>
        </w:tc>
      </w:tr>
    </w:tbl>
    <w:p>
      <w:r>
        <w:br w:type="page"/>
      </w:r>
    </w:p>
    <w:p>
      <w:pPr>
        <w:pStyle w:val="Heading1"/>
        <w:spacing w:after="240" w:before="480"/>
      </w:pPr>
      <w:r>
        <w:rPr>
          <w:rFonts w:ascii="Arial" w:cs="Arial" w:eastAsia="Arial" w:hAnsi="Arial"/>
          <w:b/>
          <w:bCs/>
          <w:color w:val="1B3A6B"/>
          <w:sz w:val="36"/>
          <w:szCs w:val="36"/>
        </w:rPr>
        <w:t xml:space="preserve">9. Jüriye Karşı Güçlü Argümanlar (Genel)</w:t>
      </w:r>
    </w:p>
    <w:p>
      <w:pPr>
        <w:pStyle w:val="Heading2"/>
        <w:pBdr>
          <w:bottom w:val="single" w:color="2E75B6" w:sz="4" w:space="4"/>
        </w:pBdr>
        <w:spacing w:after="180" w:before="360"/>
      </w:pPr>
      <w:r>
        <w:rPr>
          <w:rFonts w:ascii="Arial" w:cs="Arial" w:eastAsia="Arial" w:hAnsi="Arial"/>
          <w:b/>
          <w:bCs/>
          <w:color w:val="2E75B6"/>
          <w:sz w:val="28"/>
          <w:szCs w:val="28"/>
        </w:rPr>
        <w:t xml:space="preserve">"Attention çalışıyor, neden değiştirelim?"</w:t>
      </w:r>
    </w:p>
    <w:p>
      <w:pPr>
        <w:spacing w:after="100" w:before="80"/>
        <w:jc w:val="both"/>
      </w:pPr>
      <w:r>
        <w:rPr>
          <w:rFonts w:ascii="Arial" w:cs="Arial" w:eastAsia="Arial" w:hAnsi="Arial"/>
          <w:b w:val="false"/>
          <w:bCs w:val="false"/>
          <w:i w:val="false"/>
          <w:iCs w:val="false"/>
          <w:color w:val="555555"/>
          <w:sz w:val="22"/>
          <w:szCs w:val="22"/>
        </w:rPr>
        <w:t xml:space="preserve">Attention çalışmaktadır, ancak optimum değildir. O(n²) hesaplama maliyeti, uzun sekanslar için gerçek bir kısıttır. Daha önemlisi, similarity-based routing bilgi-teorik olarak belirsizlik azaltmayı maximize etmez. Önerilen yöntem, bu teorik boşluğu kapatır.</w:t>
      </w:r>
    </w:p>
    <w:p>
      <w:pPr>
        <w:pStyle w:val="Heading2"/>
        <w:pBdr>
          <w:bottom w:val="single" w:color="2E75B6" w:sz="4" w:space="4"/>
        </w:pBdr>
        <w:spacing w:after="180" w:before="360"/>
      </w:pPr>
      <w:r>
        <w:rPr>
          <w:rFonts w:ascii="Arial" w:cs="Arial" w:eastAsia="Arial" w:hAnsi="Arial"/>
          <w:b/>
          <w:bCs/>
          <w:color w:val="2E75B6"/>
          <w:sz w:val="28"/>
          <w:szCs w:val="28"/>
        </w:rPr>
        <w:t xml:space="preserve">"Yeni bir yaklaşım mı, yoksa eski fikirlerin kombinasyonu mu?"</w:t>
      </w:r>
    </w:p>
    <w:p>
      <w:pPr>
        <w:spacing w:after="100" w:before="80"/>
        <w:jc w:val="both"/>
      </w:pPr>
      <w:r>
        <w:rPr>
          <w:rFonts w:ascii="Arial" w:cs="Arial" w:eastAsia="Arial" w:hAnsi="Arial"/>
          <w:b w:val="false"/>
          <w:bCs w:val="false"/>
          <w:i w:val="false"/>
          <w:iCs w:val="false"/>
          <w:color w:val="555555"/>
          <w:sz w:val="22"/>
          <w:szCs w:val="22"/>
        </w:rPr>
        <w:t xml:space="preserve">Predictive Coding (1999), Lateral Inhibition (1950'ler), ART (1980) ayrı ayrı eski fikirlerdir. Özgün katkı bunların transformer routing mekanizmasına sistematik ve etiket-serbest biçimde entegrasyonudur. Mimari adaptasyon + etiket-serbest öğrenme + mevcut modele uygulanabilirlik — bu kombinasyon yenidir.</w:t>
      </w:r>
    </w:p>
    <w:p>
      <w:pPr>
        <w:pStyle w:val="Heading2"/>
        <w:pBdr>
          <w:bottom w:val="single" w:color="2E75B6" w:sz="4" w:space="4"/>
        </w:pBdr>
        <w:spacing w:after="180" w:before="360"/>
      </w:pPr>
      <w:r>
        <w:rPr>
          <w:rFonts w:ascii="Arial" w:cs="Arial" w:eastAsia="Arial" w:hAnsi="Arial"/>
          <w:b/>
          <w:bCs/>
          <w:color w:val="2E75B6"/>
          <w:sz w:val="28"/>
          <w:szCs w:val="28"/>
        </w:rPr>
        <w:t xml:space="preserve">"Neden etiket olmadan çalışıyor?"</w:t>
      </w:r>
    </w:p>
    <w:p>
      <w:pPr>
        <w:spacing w:after="100" w:before="80"/>
        <w:jc w:val="both"/>
      </w:pPr>
      <w:r>
        <w:rPr>
          <w:rFonts w:ascii="Arial" w:cs="Arial" w:eastAsia="Arial" w:hAnsi="Arial"/>
          <w:b w:val="false"/>
          <w:bCs w:val="false"/>
          <w:i w:val="false"/>
          <w:iCs w:val="false"/>
          <w:color w:val="555555"/>
          <w:sz w:val="22"/>
          <w:szCs w:val="22"/>
        </w:rPr>
        <w:t xml:space="preserve">Öğrenme sinyali modelin kendi aktivasyonlarından gelir. Tahmin hatası (PCR), aktivasyon yoğunluğu (LI-SCR) veya rezonans skoru (RBR) — bunların hiçbiri harici etiket gerektirmez. Matematiksel gösterim tez metnine dahil edilecektir.</w:t>
      </w:r>
    </w:p>
    <w:p>
      <w:pPr>
        <w:pStyle w:val="Heading2"/>
        <w:pBdr>
          <w:bottom w:val="single" w:color="2E75B6" w:sz="4" w:space="4"/>
        </w:pBdr>
        <w:spacing w:after="180" w:before="360"/>
      </w:pPr>
      <w:r>
        <w:rPr>
          <w:rFonts w:ascii="Arial" w:cs="Arial" w:eastAsia="Arial" w:hAnsi="Arial"/>
          <w:b/>
          <w:bCs/>
          <w:color w:val="2E75B6"/>
          <w:sz w:val="28"/>
          <w:szCs w:val="28"/>
        </w:rPr>
        <w:t xml:space="preserve">"Bu tez ne kadar sürede tamamlanabilir?"</w:t>
      </w:r>
    </w:p>
    <w:p>
      <w:pPr>
        <w:spacing w:after="100" w:before="80"/>
        <w:jc w:val="both"/>
      </w:pPr>
      <w:r>
        <w:rPr>
          <w:rFonts w:ascii="Arial" w:cs="Arial" w:eastAsia="Arial" w:hAnsi="Arial"/>
          <w:b w:val="false"/>
          <w:bCs w:val="false"/>
          <w:i w:val="false"/>
          <w:iCs w:val="false"/>
          <w:color w:val="555555"/>
          <w:sz w:val="22"/>
          <w:szCs w:val="22"/>
        </w:rPr>
        <w:t xml:space="preserve">4 akademik dönem (18 ay) gerçekçidir. Prototip GPT-2 Small üzerinde; benchmark mevcut açık veri setleriyle; yayın hedefi workshop + tam makale olmak üzere 2 yayın. Planlama bu raporda detaylandırılmıştır.</w:t>
      </w:r>
    </w:p>
    <w:p>
      <w:r>
        <w:br w:type="page"/>
      </w:r>
    </w:p>
    <w:p>
      <w:pPr>
        <w:pStyle w:val="Heading1"/>
        <w:spacing w:after="240" w:before="480"/>
      </w:pPr>
      <w:r>
        <w:rPr>
          <w:rFonts w:ascii="Arial" w:cs="Arial" w:eastAsia="Arial" w:hAnsi="Arial"/>
          <w:b/>
          <w:bCs/>
          <w:color w:val="1B3A6B"/>
          <w:sz w:val="36"/>
          <w:szCs w:val="36"/>
        </w:rPr>
        <w:t xml:space="preserve">10. Genel Risk Analizi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420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Risk</w:t>
            </w:r>
          </w:p>
        </w:tc>
        <w:tc>
          <w:tcPr>
            <w:tcW w:type="dxa" w:w="1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Yöntem</w:t>
            </w:r>
          </w:p>
        </w:tc>
        <w:tc>
          <w:tcPr>
            <w:tcW w:type="dxa" w:w="1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Olasılık</w:t>
            </w:r>
          </w:p>
        </w:tc>
        <w:tc>
          <w:tcPr>
            <w:tcW w:type="dxa" w:w="4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Çözüm</w:t>
            </w:r>
          </w:p>
        </w:tc>
      </w:tr>
      <w:tr>
        <w:tc>
          <w:tcPr>
            <w:tcW w:type="dxa" w:w="2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Hiçbir yöntem attention'ı geçemiyor</w:t>
            </w:r>
          </w:p>
        </w:tc>
        <w:tc>
          <w:tcPr>
            <w:tcW w:type="dxa" w:w="1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Hepsi</w:t>
            </w:r>
          </w:p>
        </w:tc>
        <w:tc>
          <w:tcPr>
            <w:tcW w:type="dxa" w:w="1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4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Hybrid mimari: attention + önerilen yöntem. Negatif sonuç da yayınlanabilir.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Hesaplama maliyeti kabul edilemez</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PCR, RBR</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Lineer yaklaşımlar + sparse seçici hesaplama</w:t>
            </w:r>
          </w:p>
        </w:tc>
      </w:tr>
      <w:tr>
        <w:tc>
          <w:tcPr>
            <w:tcW w:type="dxa" w:w="2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Özgün katkı yetersiz bulunuyor</w:t>
            </w:r>
          </w:p>
        </w:tc>
        <w:tc>
          <w:tcPr>
            <w:tcW w:type="dxa" w:w="1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Hepsi</w:t>
            </w:r>
          </w:p>
        </w:tc>
        <w:tc>
          <w:tcPr>
            <w:tcW w:type="dxa" w:w="1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Düşük</w:t>
            </w:r>
          </w:p>
        </w:tc>
        <w:tc>
          <w:tcPr>
            <w:tcW w:type="dxa" w:w="4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"Transformer routing olarak" çerçevelemesi + literature gap belgesi</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TÜBİTAK/KOSGEB fonlama kriterlerine uymaması</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Hepsi</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Düşük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Endüstriyel uygulama senaryosu ekle (B2B API olarak konumlandır)</w:t>
            </w:r>
          </w:p>
        </w:tc>
      </w:tr>
      <w:tr>
        <w:tc>
          <w:tcPr>
            <w:tcW w:type="dxa" w:w="28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GPU kaynaklarının yetersizliği</w:t>
            </w:r>
          </w:p>
        </w:tc>
        <w:tc>
          <w:tcPr>
            <w:tcW w:type="dxa" w:w="1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Hepsi</w:t>
            </w:r>
          </w:p>
        </w:tc>
        <w:tc>
          <w:tcPr>
            <w:tcW w:type="dxa" w:w="10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4200"/>
            <w:tcBorders>
              <w:top w:val="single" w:color="CCCCCC" w:sz="1"/>
              <w:left w:val="single" w:color="CCCCCC" w:sz="1"/>
              <w:bottom w:val="single" w:color="CCCCCC" w:sz="1"/>
              <w:right w:val="single" w:color="CCCCCC" w:sz="1"/>
            </w:tcBorders>
            <w:shd w:fill="F7FB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GPT-2 Small (RTX 4060'da çalışır). Büyük model için Google Colab Pro / Runpod.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İkinci makale için özgün bulgu olmaması</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Hepsi</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Orta</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30"/>
            </w:pPr>
            <w:r>
              <w:rPr>
                <w:rFonts w:ascii="Arial" w:cs="Arial" w:eastAsia="Arial" w:hAnsi="Arial"/>
                <w:color w:val="555555"/>
                <w:sz w:val="19"/>
                <w:szCs w:val="19"/>
              </w:rPr>
              <w:t xml:space="preserve">Hibrid mimari veya farklı domain uygulaması ikinci katkı olabilir</w:t>
            </w:r>
          </w:p>
        </w:tc>
      </w:tr>
    </w:tbl>
    <w:p>
      <w:pPr>
        <w:spacing w:after="0" w:before="160"/>
      </w:pPr>
      <w:r>
        <w:t xml:space="preserve"> </w:t>
      </w:r>
    </w:p>
    <w:p>
      <w:pPr>
        <w:spacing w:after="0" w:before="480"/>
        <w:jc w:val="center"/>
      </w:pPr>
      <w:r>
        <w:rPr>
          <w:rFonts w:ascii="Arial" w:cs="Arial" w:eastAsia="Arial" w:hAnsi="Arial"/>
          <w:color w:val="888888"/>
          <w:sz w:val="18"/>
          <w:szCs w:val="18"/>
        </w:rPr>
        <w:t xml:space="preserve">Bu rapor, Thesis Note 16 / Yön A kapsamında hazırlanmıştır.</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Attention Replacement Framework — Yön A  |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771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2026-05-14T14:08:56.753Z</dcterms:created>
  <dcterms:modified xsi:type="dcterms:W3CDTF">2026-05-14T14:08:56.770Z</dcterms:modified>
</cp:coreProperties>
</file>

<file path=docProps/custom.xml><?xml version="1.0" encoding="utf-8"?>
<Properties xmlns="http://schemas.openxmlformats.org/officeDocument/2006/custom-properties" xmlns:vt="http://schemas.openxmlformats.org/officeDocument/2006/docPropsVTypes"/>
</file>