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045" w:rsidRDefault="00E17045" w:rsidP="006E0BC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11A4951">
            <wp:simplePos x="0" y="0"/>
            <wp:positionH relativeFrom="margin">
              <wp:posOffset>3562074</wp:posOffset>
            </wp:positionH>
            <wp:positionV relativeFrom="paragraph">
              <wp:posOffset>-214900</wp:posOffset>
            </wp:positionV>
            <wp:extent cx="1574359" cy="1249773"/>
            <wp:effectExtent l="0" t="0" r="6985" b="7620"/>
            <wp:wrapNone/>
            <wp:docPr id="2" name="Picture 2" descr="https://eee.metu.edu.tr/sites/eee.metu.edu.tr/files/images/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e.metu.edu.tr/sites/eee.metu.edu.tr/files/images/e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359" cy="1249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D2">
        <w:rPr>
          <w:rFonts w:ascii="Arial" w:hAnsi="Arial" w:cs="Arial"/>
          <w:noProof/>
          <w:color w:val="000000"/>
          <w:sz w:val="52"/>
          <w:szCs w:val="52"/>
          <w:bdr w:val="none" w:sz="0" w:space="0" w:color="auto" w:frame="1"/>
        </w:rPr>
        <w:drawing>
          <wp:anchor distT="0" distB="0" distL="114300" distR="114300" simplePos="0" relativeHeight="251658240" behindDoc="0" locked="0" layoutInCell="1" allowOverlap="1">
            <wp:simplePos x="0" y="0"/>
            <wp:positionH relativeFrom="column">
              <wp:posOffset>921965</wp:posOffset>
            </wp:positionH>
            <wp:positionV relativeFrom="paragraph">
              <wp:posOffset>-250190</wp:posOffset>
            </wp:positionV>
            <wp:extent cx="1526650" cy="1278868"/>
            <wp:effectExtent l="0" t="0" r="0" b="0"/>
            <wp:wrapNone/>
            <wp:docPr id="1" name="Picture 1" descr="https://lh4.googleusercontent.com/ksclZp8ZvT_6IleMXQ3JvrxJtbv4k-tRMGWoO6DG8SGHugSe0_pTEP1_gsUoJvqmGG7yo3bJJqyI9-FljKhPbCZtB6cmToObrg_j5HI57ucy90fCNkK-ft8e8De7c_V4SzXoB8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clZp8ZvT_6IleMXQ3JvrxJtbv4k-tRMGWoO6DG8SGHugSe0_pTEP1_gsUoJvqmGG7yo3bJJqyI9-FljKhPbCZtB6cmToObrg_j5HI57ucy90fCNkK-ft8e8De7c_V4SzXoB8g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526650" cy="12788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7045" w:rsidRDefault="00E17045" w:rsidP="006E0BC6"/>
    <w:p w:rsidR="00E17045" w:rsidRDefault="00E17045" w:rsidP="006E0BC6"/>
    <w:p w:rsidR="009B4FD2" w:rsidRDefault="009B4FD2" w:rsidP="006E0BC6"/>
    <w:p w:rsidR="00E17045" w:rsidRDefault="00E17045" w:rsidP="006E0BC6"/>
    <w:p w:rsidR="00E17045" w:rsidRDefault="00E17045" w:rsidP="006E0BC6"/>
    <w:p w:rsidR="00E17045" w:rsidRDefault="00E17045" w:rsidP="006E0BC6"/>
    <w:p w:rsidR="00E17045" w:rsidRDefault="00E17045" w:rsidP="006E0BC6"/>
    <w:p w:rsidR="009B4FD2" w:rsidRPr="009B4FD2" w:rsidRDefault="009B4FD2" w:rsidP="006E0BC6">
      <w:pPr>
        <w:rPr>
          <w:rFonts w:ascii="Times New Roman" w:hAnsi="Times New Roman" w:cs="Times New Roman"/>
          <w:sz w:val="28"/>
          <w:szCs w:val="24"/>
        </w:rPr>
      </w:pPr>
      <w:r w:rsidRPr="009B4FD2">
        <w:t>EE</w:t>
      </w:r>
      <w:r w:rsidR="00E17045" w:rsidRPr="00E17045">
        <w:t>568</w:t>
      </w:r>
      <w:r w:rsidRPr="009B4FD2">
        <w:t xml:space="preserve"> </w:t>
      </w:r>
      <w:r w:rsidR="00E17045" w:rsidRPr="00E17045">
        <w:t>– Selected Topics on Electrical Machines</w:t>
      </w:r>
    </w:p>
    <w:p w:rsidR="009B4FD2" w:rsidRDefault="009B4FD2" w:rsidP="006E0BC6">
      <w:r w:rsidRPr="009B4FD2">
        <w:rPr>
          <w:sz w:val="52"/>
        </w:rPr>
        <w:t> </w:t>
      </w:r>
      <w:r w:rsidR="00E17045" w:rsidRPr="00E17045">
        <w:t>Project #1: Torque in a Variable Reluctance Machine</w:t>
      </w:r>
    </w:p>
    <w:p w:rsidR="00845AB8" w:rsidRDefault="00845AB8" w:rsidP="006E0BC6"/>
    <w:p w:rsidR="00845AB8" w:rsidRDefault="00845AB8" w:rsidP="006E0BC6"/>
    <w:p w:rsidR="00B437C9" w:rsidRDefault="00B437C9" w:rsidP="006E0BC6">
      <w:r w:rsidRPr="00845AB8">
        <w:t>Project Report</w:t>
      </w:r>
    </w:p>
    <w:p w:rsidR="00845AB8" w:rsidRDefault="00845AB8" w:rsidP="006E0BC6"/>
    <w:p w:rsidR="00845AB8" w:rsidRDefault="00845AB8" w:rsidP="006E0BC6"/>
    <w:p w:rsidR="00845AB8" w:rsidRDefault="00845AB8" w:rsidP="006E0BC6"/>
    <w:p w:rsidR="00845AB8" w:rsidRDefault="00845AB8" w:rsidP="006E0BC6"/>
    <w:p w:rsidR="009B4FD2" w:rsidRPr="009B4FD2" w:rsidRDefault="00845AB8" w:rsidP="006E0BC6">
      <w:pPr>
        <w:rPr>
          <w:rFonts w:ascii="Times New Roman" w:hAnsi="Times New Roman" w:cs="Times New Roman"/>
          <w:sz w:val="10"/>
          <w:szCs w:val="24"/>
        </w:rPr>
      </w:pPr>
      <w:r w:rsidRPr="00845AB8">
        <w:t>by</w:t>
      </w:r>
    </w:p>
    <w:p w:rsidR="009B4FD2" w:rsidRPr="009B4FD2" w:rsidRDefault="00E17045" w:rsidP="006E0BC6">
      <w:pPr>
        <w:rPr>
          <w:rFonts w:ascii="Times New Roman" w:hAnsi="Times New Roman" w:cs="Times New Roman"/>
          <w:szCs w:val="24"/>
        </w:rPr>
      </w:pPr>
      <w:r>
        <w:t>Hakan Saraç - 2408086</w:t>
      </w:r>
    </w:p>
    <w:p w:rsidR="009B3DAC" w:rsidRDefault="009B4FD2" w:rsidP="006E0BC6">
      <w:r w:rsidRPr="009B4FD2">
        <w:br/>
      </w:r>
      <w:r w:rsidRPr="009B4FD2">
        <w:br/>
      </w:r>
      <w:r w:rsidRPr="009B4FD2">
        <w:br/>
      </w:r>
    </w:p>
    <w:p w:rsidR="009B3DAC" w:rsidRDefault="009B3DAC" w:rsidP="006E0BC6">
      <w:r>
        <w:br w:type="page"/>
      </w:r>
    </w:p>
    <w:bookmarkStart w:id="0" w:name="_Toc34480512"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6E0BC6">
          <w:pPr>
            <w:pStyle w:val="Heading1"/>
          </w:pPr>
          <w:r>
            <w:t>Contents</w:t>
          </w:r>
          <w:bookmarkEnd w:id="0"/>
        </w:p>
        <w:p w:rsidR="00E17BE3" w:rsidRDefault="004675C9" w:rsidP="006E0BC6">
          <w:pPr>
            <w:pStyle w:val="TOC1"/>
            <w:rPr>
              <w:noProof/>
            </w:rPr>
          </w:pPr>
          <w:r>
            <w:fldChar w:fldCharType="begin"/>
          </w:r>
          <w:r>
            <w:instrText xml:space="preserve"> TOC \o "1-3" \h \z \u </w:instrText>
          </w:r>
          <w:r>
            <w:fldChar w:fldCharType="separate"/>
          </w:r>
          <w:hyperlink w:anchor="_Toc34480512" w:history="1">
            <w:r w:rsidR="00E17BE3" w:rsidRPr="00E74F14">
              <w:rPr>
                <w:rStyle w:val="Hyperlink"/>
                <w:noProof/>
              </w:rPr>
              <w:t>1.</w:t>
            </w:r>
            <w:r w:rsidR="00E17BE3">
              <w:rPr>
                <w:noProof/>
              </w:rPr>
              <w:tab/>
            </w:r>
            <w:r w:rsidR="00E17BE3" w:rsidRPr="00E74F14">
              <w:rPr>
                <w:rStyle w:val="Hyperlink"/>
                <w:noProof/>
              </w:rPr>
              <w:t>Contents</w:t>
            </w:r>
            <w:r w:rsidR="00E17BE3">
              <w:rPr>
                <w:noProof/>
                <w:webHidden/>
              </w:rPr>
              <w:tab/>
            </w:r>
            <w:r w:rsidR="00E17BE3">
              <w:rPr>
                <w:noProof/>
                <w:webHidden/>
              </w:rPr>
              <w:fldChar w:fldCharType="begin"/>
            </w:r>
            <w:r w:rsidR="00E17BE3">
              <w:rPr>
                <w:noProof/>
                <w:webHidden/>
              </w:rPr>
              <w:instrText xml:space="preserve"> PAGEREF _Toc34480512 \h </w:instrText>
            </w:r>
            <w:r w:rsidR="00E17BE3">
              <w:rPr>
                <w:noProof/>
                <w:webHidden/>
              </w:rPr>
            </w:r>
            <w:r w:rsidR="00E17BE3">
              <w:rPr>
                <w:noProof/>
                <w:webHidden/>
              </w:rPr>
              <w:fldChar w:fldCharType="separate"/>
            </w:r>
            <w:r w:rsidR="00E17BE3">
              <w:rPr>
                <w:noProof/>
                <w:webHidden/>
              </w:rPr>
              <w:t>2</w:t>
            </w:r>
            <w:r w:rsidR="00E17BE3">
              <w:rPr>
                <w:noProof/>
                <w:webHidden/>
              </w:rPr>
              <w:fldChar w:fldCharType="end"/>
            </w:r>
          </w:hyperlink>
        </w:p>
        <w:p w:rsidR="00E17BE3" w:rsidRDefault="00092172" w:rsidP="006E0BC6">
          <w:pPr>
            <w:pStyle w:val="TOC1"/>
            <w:rPr>
              <w:noProof/>
            </w:rPr>
          </w:pPr>
          <w:hyperlink w:anchor="_Toc34480513" w:history="1">
            <w:r w:rsidR="00E17BE3" w:rsidRPr="00E74F14">
              <w:rPr>
                <w:rStyle w:val="Hyperlink"/>
                <w:noProof/>
              </w:rPr>
              <w:t>2.</w:t>
            </w:r>
            <w:r w:rsidR="00E17BE3">
              <w:rPr>
                <w:noProof/>
              </w:rPr>
              <w:tab/>
            </w:r>
            <w:r w:rsidR="00E17BE3" w:rsidRPr="00E74F14">
              <w:rPr>
                <w:rStyle w:val="Hyperlink"/>
                <w:noProof/>
              </w:rPr>
              <w:t>Introduction</w:t>
            </w:r>
            <w:r w:rsidR="00E17BE3">
              <w:rPr>
                <w:noProof/>
                <w:webHidden/>
              </w:rPr>
              <w:tab/>
            </w:r>
            <w:r w:rsidR="00E17BE3">
              <w:rPr>
                <w:noProof/>
                <w:webHidden/>
              </w:rPr>
              <w:fldChar w:fldCharType="begin"/>
            </w:r>
            <w:r w:rsidR="00E17BE3">
              <w:rPr>
                <w:noProof/>
                <w:webHidden/>
              </w:rPr>
              <w:instrText xml:space="preserve"> PAGEREF _Toc34480513 \h </w:instrText>
            </w:r>
            <w:r w:rsidR="00E17BE3">
              <w:rPr>
                <w:noProof/>
                <w:webHidden/>
              </w:rPr>
            </w:r>
            <w:r w:rsidR="00E17BE3">
              <w:rPr>
                <w:noProof/>
                <w:webHidden/>
              </w:rPr>
              <w:fldChar w:fldCharType="separate"/>
            </w:r>
            <w:r w:rsidR="00E17BE3">
              <w:rPr>
                <w:noProof/>
                <w:webHidden/>
              </w:rPr>
              <w:t>3</w:t>
            </w:r>
            <w:r w:rsidR="00E17BE3">
              <w:rPr>
                <w:noProof/>
                <w:webHidden/>
              </w:rPr>
              <w:fldChar w:fldCharType="end"/>
            </w:r>
          </w:hyperlink>
        </w:p>
        <w:p w:rsidR="004675C9" w:rsidRDefault="004675C9" w:rsidP="006E0BC6">
          <w:r>
            <w:rPr>
              <w:noProof/>
            </w:rPr>
            <w:fldChar w:fldCharType="end"/>
          </w:r>
        </w:p>
      </w:sdtContent>
    </w:sdt>
    <w:p w:rsidR="004675C9" w:rsidRDefault="004675C9" w:rsidP="006E0BC6">
      <w:r>
        <w:br w:type="page"/>
      </w:r>
    </w:p>
    <w:p w:rsidR="00092172" w:rsidRDefault="004675C9" w:rsidP="006E0BC6">
      <w:pPr>
        <w:pStyle w:val="Heading1"/>
      </w:pPr>
      <w:bookmarkStart w:id="1" w:name="_Toc34480513"/>
      <w:r w:rsidRPr="004675C9">
        <w:lastRenderedPageBreak/>
        <w:t>Introduction</w:t>
      </w:r>
      <w:bookmarkEnd w:id="1"/>
    </w:p>
    <w:p w:rsidR="004675C9" w:rsidRDefault="004675C9" w:rsidP="006E0BC6">
      <w:r>
        <w:t>In this project</w:t>
      </w:r>
      <w:r w:rsidR="00C6230D">
        <w:t>, a simple electrical machine will be examined</w:t>
      </w:r>
      <w:r w:rsidR="006C2923">
        <w:t>.</w:t>
      </w:r>
      <w:r w:rsidR="00DD4F74">
        <w:t xml:space="preserve"> </w:t>
      </w:r>
      <w:r w:rsidR="006C2923">
        <w:t xml:space="preserve">The aspects of the electrical machine </w:t>
      </w:r>
      <w:r w:rsidR="00962B9D">
        <w:t>are</w:t>
      </w:r>
      <w:r w:rsidR="006C2923">
        <w:t xml:space="preserve"> provided in Figure 1</w:t>
      </w:r>
      <w:r w:rsidR="00C6230D">
        <w:t xml:space="preserve">. It is aimed to observe the flux density, torque, inductance reluctance etc. variation with the rotational part position. The analysis procedure has started with analytical calculation. </w:t>
      </w:r>
      <w:r w:rsidR="00E17BE3">
        <w:t>In order to verify the analytical calculations, ANSYS Maxwell is used as</w:t>
      </w:r>
      <w:r w:rsidR="0082096E">
        <w:t xml:space="preserve"> FEA tool. </w:t>
      </w:r>
    </w:p>
    <w:p w:rsidR="00870A48" w:rsidRDefault="00870A48" w:rsidP="00DF5D2E">
      <w:pPr>
        <w:jc w:val="center"/>
      </w:pPr>
      <w:r>
        <w:rPr>
          <w:noProof/>
        </w:rPr>
        <w:drawing>
          <wp:inline distT="0" distB="0" distL="0" distR="0" wp14:anchorId="7FE89AF3" wp14:editId="198D5151">
            <wp:extent cx="4190337" cy="3738955"/>
            <wp:effectExtent l="0" t="0" r="1270" b="0"/>
            <wp:docPr id="3" name="Picture 3" descr="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8519" cy="3746256"/>
                    </a:xfrm>
                    <a:prstGeom prst="rect">
                      <a:avLst/>
                    </a:prstGeom>
                    <a:noFill/>
                    <a:ln>
                      <a:noFill/>
                    </a:ln>
                  </pic:spPr>
                </pic:pic>
              </a:graphicData>
            </a:graphic>
          </wp:inline>
        </w:drawing>
      </w:r>
    </w:p>
    <w:p w:rsidR="00870A48" w:rsidRDefault="00870A48" w:rsidP="00DF5D2E">
      <w:pPr>
        <w:pStyle w:val="Caption"/>
        <w:jc w:val="center"/>
      </w:pPr>
      <w:r>
        <w:t xml:space="preserve">Figure </w:t>
      </w:r>
      <w:r>
        <w:fldChar w:fldCharType="begin"/>
      </w:r>
      <w:r>
        <w:instrText xml:space="preserve"> SEQ Figure \* ARABIC </w:instrText>
      </w:r>
      <w:r>
        <w:fldChar w:fldCharType="separate"/>
      </w:r>
      <w:r w:rsidR="00161526">
        <w:rPr>
          <w:noProof/>
        </w:rPr>
        <w:t>1</w:t>
      </w:r>
      <w:r>
        <w:fldChar w:fldCharType="end"/>
      </w:r>
      <w:r>
        <w:t>: Machine 2D Drawing TODO refer</w:t>
      </w:r>
    </w:p>
    <w:p w:rsidR="009C310D" w:rsidRDefault="009C310D" w:rsidP="006E0BC6">
      <w:r>
        <w:t xml:space="preserve">Other specifications of the machine </w:t>
      </w:r>
      <w:r w:rsidR="00033D71">
        <w:t xml:space="preserve">are </w:t>
      </w:r>
      <w:r>
        <w:t>listed as:</w:t>
      </w:r>
    </w:p>
    <w:p w:rsidR="009C310D" w:rsidRPr="009C310D" w:rsidRDefault="009C310D" w:rsidP="006E0BC6">
      <w:pPr>
        <w:pStyle w:val="ListParagraph"/>
        <w:numPr>
          <w:ilvl w:val="0"/>
          <w:numId w:val="2"/>
        </w:numPr>
      </w:pPr>
      <w:r w:rsidRPr="009C310D">
        <w:t>Coils are wound within 30mmx10mm rectangle areas</w:t>
      </w:r>
    </w:p>
    <w:p w:rsidR="009C310D" w:rsidRPr="009C310D" w:rsidRDefault="009C310D" w:rsidP="006E0BC6">
      <w:pPr>
        <w:pStyle w:val="ListParagraph"/>
        <w:numPr>
          <w:ilvl w:val="0"/>
          <w:numId w:val="2"/>
        </w:numPr>
      </w:pPr>
      <w:r w:rsidRPr="009C310D">
        <w:t>Each airgap clearance is 0.5mm</w:t>
      </w:r>
    </w:p>
    <w:p w:rsidR="009C310D" w:rsidRPr="009C310D" w:rsidRDefault="009C310D" w:rsidP="006E0BC6">
      <w:pPr>
        <w:pStyle w:val="ListParagraph"/>
        <w:numPr>
          <w:ilvl w:val="0"/>
          <w:numId w:val="2"/>
        </w:numPr>
      </w:pPr>
      <w:r w:rsidRPr="009C310D">
        <w:t>Depth of the core is 20mm</w:t>
      </w:r>
    </w:p>
    <w:p w:rsidR="009C310D" w:rsidRPr="009C310D" w:rsidRDefault="009C310D" w:rsidP="006E0BC6">
      <w:pPr>
        <w:pStyle w:val="ListParagraph"/>
        <w:numPr>
          <w:ilvl w:val="0"/>
          <w:numId w:val="2"/>
        </w:numPr>
      </w:pPr>
      <w:r w:rsidRPr="009C310D">
        <w:t>Number of turns = 250</w:t>
      </w:r>
    </w:p>
    <w:p w:rsidR="00CB741A" w:rsidRDefault="009C310D" w:rsidP="006E0BC6">
      <w:pPr>
        <w:pStyle w:val="ListParagraph"/>
        <w:numPr>
          <w:ilvl w:val="0"/>
          <w:numId w:val="2"/>
        </w:numPr>
      </w:pPr>
      <w:r w:rsidRPr="009C310D">
        <w:t>Coil Current = 3 A DC</w:t>
      </w:r>
    </w:p>
    <w:p w:rsidR="00CB741A" w:rsidRDefault="00CB741A" w:rsidP="006E0BC6">
      <w:r>
        <w:br w:type="page"/>
      </w:r>
    </w:p>
    <w:p w:rsidR="00096FCF" w:rsidRDefault="00870A48" w:rsidP="00096FCF">
      <w:pPr>
        <w:pStyle w:val="Heading1"/>
      </w:pPr>
      <w:r>
        <w:lastRenderedPageBreak/>
        <w:t xml:space="preserve">Question </w:t>
      </w:r>
      <w:r w:rsidR="000E1C53">
        <w:t>1: Analytical Modeling</w:t>
      </w:r>
    </w:p>
    <w:p w:rsidR="00096FCF" w:rsidRPr="00096FCF" w:rsidRDefault="008A4BDC" w:rsidP="00096FCF">
      <w:pPr>
        <w:pStyle w:val="Heading2"/>
      </w:pPr>
      <w:r>
        <w:t>Reluctance as</w:t>
      </w:r>
      <w:r w:rsidR="009B3086">
        <w:t xml:space="preserve"> a function of angle d</w:t>
      </w:r>
      <w:r w:rsidR="00096FCF">
        <w:t>erivation</w:t>
      </w:r>
    </w:p>
    <w:p w:rsidR="000E1C53" w:rsidRDefault="00AB1F2E" w:rsidP="006E0BC6">
      <w:r>
        <w:t xml:space="preserve">In order to simplify the </w:t>
      </w:r>
      <w:r w:rsidR="003F414D">
        <w:t xml:space="preserve">analytical </w:t>
      </w:r>
      <w:r w:rsidR="00C8211C">
        <w:t>calculations</w:t>
      </w:r>
      <w:r w:rsidR="003F414D">
        <w:t>, t</w:t>
      </w:r>
      <w:r>
        <w:t xml:space="preserve">he dependency of the reluctance (and therefore inductance) with the </w:t>
      </w:r>
      <w:r w:rsidRPr="00492B59">
        <w:t>rotor</w:t>
      </w:r>
      <w:r>
        <w:t xml:space="preserve"> position is derived by</w:t>
      </w:r>
      <w:r w:rsidR="003F414D">
        <w:t xml:space="preserve"> assuming that the flux is flowing through either the 12mm radius part and/or 10mm radius part. The flux flowing through the linear part is ignored for this part.</w:t>
      </w:r>
      <w:r w:rsidR="00542037">
        <w:t xml:space="preserve"> The flux flow assumption is show more clearly is Figure 2</w:t>
      </w:r>
      <w:r w:rsidR="00201971">
        <w:t xml:space="preserve">. </w:t>
      </w:r>
      <w:r w:rsidR="00805F69">
        <w:t>Moreover, the core is taken to be infinitely permeable and the fringing effects are neglected</w:t>
      </w:r>
      <w:r w:rsidR="004F2596">
        <w:t>.</w:t>
      </w:r>
    </w:p>
    <w:p w:rsidR="00F64CA5" w:rsidRDefault="00201971" w:rsidP="00DF5D2E">
      <w:pPr>
        <w:jc w:val="center"/>
      </w:pPr>
      <w:r>
        <w:rPr>
          <w:noProof/>
        </w:rPr>
        <w:drawing>
          <wp:inline distT="0" distB="0" distL="0" distR="0">
            <wp:extent cx="4368800" cy="3257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731" cy="3273263"/>
                    </a:xfrm>
                    <a:prstGeom prst="rect">
                      <a:avLst/>
                    </a:prstGeom>
                    <a:noFill/>
                    <a:ln>
                      <a:noFill/>
                    </a:ln>
                  </pic:spPr>
                </pic:pic>
              </a:graphicData>
            </a:graphic>
          </wp:inline>
        </w:drawing>
      </w:r>
    </w:p>
    <w:p w:rsidR="00201971" w:rsidRPr="000E1C53" w:rsidRDefault="00F64CA5" w:rsidP="00DF5D2E">
      <w:pPr>
        <w:pStyle w:val="Caption"/>
        <w:jc w:val="center"/>
      </w:pPr>
      <w:r>
        <w:t xml:space="preserve">Figure </w:t>
      </w:r>
      <w:r>
        <w:fldChar w:fldCharType="begin"/>
      </w:r>
      <w:r>
        <w:instrText xml:space="preserve"> SEQ Figure \* ARABIC </w:instrText>
      </w:r>
      <w:r>
        <w:fldChar w:fldCharType="separate"/>
      </w:r>
      <w:r w:rsidR="00161526">
        <w:rPr>
          <w:noProof/>
        </w:rPr>
        <w:t>2</w:t>
      </w:r>
      <w:r>
        <w:fldChar w:fldCharType="end"/>
      </w:r>
      <w:r>
        <w:t>: Flux path assumptions for analytical calculations (shown in red)</w:t>
      </w:r>
    </w:p>
    <w:p w:rsidR="009928C5" w:rsidRDefault="00135A2D" w:rsidP="006E0BC6">
      <w:r>
        <w:t>These assumptions led to simple expressions for the reluctance seen by the source. Three formulas are derived for 0</w:t>
      </w:r>
      <w:r w:rsidRPr="00135A2D">
        <w:t>°</w:t>
      </w:r>
      <w:r>
        <w:t>-77.36</w:t>
      </w:r>
      <w:r w:rsidRPr="00135A2D">
        <w:t>°</w:t>
      </w:r>
      <w:r>
        <w:t>, 77.36</w:t>
      </w:r>
      <w:r w:rsidRPr="00135A2D">
        <w:t>°</w:t>
      </w:r>
      <w:r>
        <w:t>-102.36</w:t>
      </w:r>
      <w:r w:rsidRPr="00135A2D">
        <w:t>°</w:t>
      </w:r>
      <w:r>
        <w:t>, 102.36-180</w:t>
      </w:r>
      <w:r w:rsidRPr="00135A2D">
        <w:t>°</w:t>
      </w:r>
      <w:r>
        <w:t xml:space="preserve"> degree regions. </w:t>
      </w:r>
      <w:r w:rsidR="00C475C8">
        <w:t xml:space="preserve">The positions at </w:t>
      </w:r>
      <w:r w:rsidR="00BC6E0A">
        <w:t>these angles are provided in Figure 3.</w:t>
      </w:r>
    </w:p>
    <w:p w:rsidR="00921871" w:rsidRDefault="00921871" w:rsidP="00DF5D2E">
      <w:pPr>
        <w:jc w:val="center"/>
      </w:pPr>
      <w:r>
        <w:rPr>
          <w:noProof/>
        </w:rPr>
        <w:drawing>
          <wp:inline distT="0" distB="0" distL="0" distR="0" wp14:anchorId="53410F53" wp14:editId="01F5BD25">
            <wp:extent cx="4159250" cy="22770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5187" cy="2285774"/>
                    </a:xfrm>
                    <a:prstGeom prst="rect">
                      <a:avLst/>
                    </a:prstGeom>
                    <a:noFill/>
                    <a:ln>
                      <a:noFill/>
                    </a:ln>
                  </pic:spPr>
                </pic:pic>
              </a:graphicData>
            </a:graphic>
          </wp:inline>
        </w:drawing>
      </w:r>
    </w:p>
    <w:p w:rsidR="00921871" w:rsidRPr="007D71AA" w:rsidRDefault="00921871" w:rsidP="00DF5D2E">
      <w:pPr>
        <w:pStyle w:val="Caption"/>
        <w:jc w:val="center"/>
      </w:pPr>
      <w:r>
        <w:t xml:space="preserve">Figure </w:t>
      </w:r>
      <w:r>
        <w:fldChar w:fldCharType="begin"/>
      </w:r>
      <w:r>
        <w:instrText xml:space="preserve"> SEQ Figure \* ARABIC </w:instrText>
      </w:r>
      <w:r>
        <w:fldChar w:fldCharType="separate"/>
      </w:r>
      <w:r w:rsidR="00161526">
        <w:rPr>
          <w:noProof/>
        </w:rPr>
        <w:t>3</w:t>
      </w:r>
      <w:r>
        <w:fldChar w:fldCharType="end"/>
      </w:r>
      <w:r>
        <w:t>: Rotor positions at critical angles</w:t>
      </w:r>
    </w:p>
    <w:p w:rsidR="007D71AA" w:rsidRDefault="004C5976" w:rsidP="006E0BC6">
      <w:r>
        <w:lastRenderedPageBreak/>
        <w:t>In part 1</w:t>
      </w:r>
      <w:r w:rsidR="00F428D6">
        <w:t xml:space="preserve"> </w:t>
      </w:r>
      <w:r>
        <w:t xml:space="preserve">angle is between </w:t>
      </w:r>
      <w:r w:rsidR="009928C5">
        <w:t>0</w:t>
      </w:r>
      <w:r w:rsidR="009928C5" w:rsidRPr="00135A2D">
        <w:t>°</w:t>
      </w:r>
      <w:r w:rsidR="009928C5">
        <w:t>-77.36</w:t>
      </w:r>
      <w:bookmarkStart w:id="2" w:name="_Hlk34486659"/>
      <w:r w:rsidR="009928C5" w:rsidRPr="00135A2D">
        <w:t>°</w:t>
      </w:r>
      <w:bookmarkEnd w:id="2"/>
      <w:r w:rsidR="009928C5">
        <w:t xml:space="preserve"> degrees, the flux shared between two radial parts. During the reluctance calculations in this regio</w:t>
      </w:r>
      <w:r w:rsidR="006C3E22">
        <w:t>n</w:t>
      </w:r>
      <w:r w:rsidR="00DE0C61">
        <w:t xml:space="preserve">, there assumed to be two parallel reluctance for flux path. </w:t>
      </w:r>
      <w:r w:rsidR="004D7BB9">
        <w:t>The derived formula</w:t>
      </w:r>
      <w:r w:rsidR="00732EFA">
        <w:t>s</w:t>
      </w:r>
      <w:r w:rsidR="004D7BB9">
        <w:t xml:space="preserve"> </w:t>
      </w:r>
      <w:r w:rsidR="009D7190">
        <w:t>are</w:t>
      </w:r>
      <w:r w:rsidR="00A96590">
        <w:t xml:space="preserve"> given</w:t>
      </w:r>
      <w:r w:rsidR="004D7BB9">
        <w:t xml:space="preserve"> in (1)</w:t>
      </w:r>
      <w:r w:rsidR="00C60A81">
        <w:t xml:space="preserve"> </w:t>
      </w:r>
      <w:r w:rsidR="00732EFA">
        <w:t xml:space="preserve">&amp; </w:t>
      </w:r>
      <w:r w:rsidR="00C60A81">
        <w:t>(2)</w:t>
      </w:r>
      <w:r w:rsidR="00732EFA">
        <w:t xml:space="preserve"> and the resultant </w:t>
      </w:r>
      <w:r w:rsidR="00732EFA" w:rsidRPr="006E0BC6">
        <w:t>equivalent</w:t>
      </w:r>
      <w:r w:rsidR="00732EFA">
        <w:t xml:space="preserve"> reluctance is given in (3)</w:t>
      </w:r>
      <w:r w:rsidR="00706388">
        <w:t>.</w:t>
      </w:r>
    </w:p>
    <w:p w:rsidR="004775F3" w:rsidRDefault="004775F3" w:rsidP="006E0BC6"/>
    <w:p w:rsidR="003E7AD2" w:rsidRDefault="00A3486C" w:rsidP="006E0BC6">
      <m:oMath>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12</m:t>
                </m:r>
                <m:r>
                  <w:rPr>
                    <w:rFonts w:ascii="Cambria Math" w:hAnsi="Cambria Math"/>
                  </w:rPr>
                  <m:t>mm</m:t>
                </m:r>
              </m:sub>
            </m:sSub>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r>
                  <w:rPr>
                    <w:rFonts w:ascii="Cambria Math" w:hAnsi="Cambria Math"/>
                  </w:rPr>
                  <m:t>mm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m:rPr>
                        <m:sty m:val="p"/>
                      </m:rPr>
                      <w:rPr>
                        <w:rFonts w:ascii="Cambria Math" w:hAnsi="Cambria Math"/>
                      </w:rPr>
                      <m:t>77.36</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den>
            </m:f>
            <m:r>
              <m:rPr>
                <m:sty m:val="p"/>
              </m:rPr>
              <w:rPr>
                <w:rFonts w:ascii="Cambria Math" w:hAnsi="Cambria Math"/>
              </w:rPr>
              <m:t>*2</m:t>
            </m:r>
            <m:r>
              <w:rPr>
                <w:rFonts w:ascii="Cambria Math" w:hAnsi="Cambria Math"/>
              </w:rPr>
              <m:t>π</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m:t>
        </m:r>
        <m:r>
          <m:rPr>
            <m:sty m:val="p"/>
          </m:rPr>
          <w:rPr>
            <w:rFonts w:ascii="Cambria Math" w:hAnsi="Cambria Math"/>
          </w:rPr>
          <m:t>527714*</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num>
              <m:den>
                <m:sSup>
                  <m:sSupPr>
                    <m:ctrlPr>
                      <w:rPr>
                        <w:rFonts w:ascii="Cambria Math" w:hAnsi="Cambria Math"/>
                      </w:rPr>
                    </m:ctrlPr>
                  </m:sSupPr>
                  <m:e>
                    <m:r>
                      <m:rPr>
                        <m:sty m:val="p"/>
                      </m:rPr>
                      <w:rPr>
                        <w:rFonts w:ascii="Cambria Math" w:hAnsi="Cambria Math"/>
                      </w:rPr>
                      <m:t>(77.36</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den>
            </m:f>
          </m:e>
        </m:d>
        <m:r>
          <m:rPr>
            <m:sty m:val="p"/>
          </m:rP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Henry</m:t>
            </m:r>
          </m:den>
        </m:f>
        <m:r>
          <m:rPr>
            <m:sty m:val="p"/>
          </m:rPr>
          <w:rPr>
            <w:rFonts w:ascii="Cambria Math" w:hAnsi="Cambria Math"/>
          </w:rPr>
          <m:t>)</m:t>
        </m:r>
      </m:oMath>
      <w:r w:rsidR="0047366B">
        <w:t xml:space="preserve"> </w:t>
      </w:r>
      <w:r w:rsidR="00CE5A9A">
        <w:t xml:space="preserve"> </w:t>
      </w:r>
      <w:r w:rsidR="00CE5A9A">
        <w:tab/>
      </w:r>
      <w:r w:rsidR="0047366B">
        <w:t>(1)</w:t>
      </w:r>
    </w:p>
    <w:p w:rsidR="002D32DB" w:rsidRDefault="0048279B" w:rsidP="006E0BC6">
      <m:oMath>
        <m:sSub>
          <m:sSubPr>
            <m:ctrlPr>
              <w:rPr>
                <w:rFonts w:ascii="Cambria Math" w:hAnsi="Cambria Math"/>
              </w:rPr>
            </m:ctrlPr>
          </m:sSubPr>
          <m:e>
            <m:r>
              <w:rPr>
                <w:rFonts w:ascii="Cambria Math" w:hAnsi="Cambria Math"/>
              </w:rPr>
              <m:t>R</m:t>
            </m:r>
          </m:e>
          <m:sub>
            <m:r>
              <m:rPr>
                <m:sty m:val="p"/>
              </m:rPr>
              <w:rPr>
                <w:rFonts w:ascii="Cambria Math" w:hAnsi="Cambria Math"/>
              </w:rPr>
              <m:t>1</m:t>
            </m:r>
            <m:r>
              <m:rPr>
                <m:sty m:val="p"/>
              </m:rPr>
              <w:rPr>
                <w:rFonts w:ascii="Cambria Math" w:hAnsi="Cambria Math"/>
              </w:rPr>
              <m:t>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r>
                  <m:rPr>
                    <m:sty m:val="p"/>
                  </m:rPr>
                  <w:rPr>
                    <w:rFonts w:ascii="Cambria Math" w:hAnsi="Cambria Math"/>
                  </w:rPr>
                  <m:t>0</m:t>
                </m:r>
                <m:r>
                  <w:rPr>
                    <w:rFonts w:ascii="Cambria Math" w:hAnsi="Cambria Math"/>
                  </w:rPr>
                  <m:t>mm</m:t>
                </m:r>
              </m:sub>
            </m:sSub>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r>
                  <m:rPr>
                    <m:sty m:val="p"/>
                  </m:rPr>
                  <w:rPr>
                    <w:rFonts w:ascii="Cambria Math" w:hAnsi="Cambria Math"/>
                  </w:rPr>
                  <m:t>0</m:t>
                </m:r>
                <m:r>
                  <w:rPr>
                    <w:rFonts w:ascii="Cambria Math" w:hAnsi="Cambria Math"/>
                  </w:rPr>
                  <m:t>mm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Θ</m:t>
                </m:r>
              </m:num>
              <m:den>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den>
            </m:f>
            <m:r>
              <m:rPr>
                <m:sty m:val="p"/>
              </m:rPr>
              <w:rPr>
                <w:rFonts w:ascii="Cambria Math" w:hAnsi="Cambria Math"/>
              </w:rPr>
              <m:t>*2</m:t>
            </m:r>
            <m:r>
              <w:rPr>
                <w:rFonts w:ascii="Cambria Math" w:hAnsi="Cambria Math"/>
              </w:rPr>
              <m:t>π</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m:t>
        </m:r>
        <m:r>
          <m:rPr>
            <m:sty m:val="p"/>
          </m:rPr>
          <w:rPr>
            <w:rFonts w:ascii="Cambria Math" w:hAnsi="Cambria Math"/>
          </w:rPr>
          <m:t>3166286</m:t>
        </m:r>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num>
              <m:den>
                <m:r>
                  <w:rPr>
                    <w:rFonts w:ascii="Cambria Math" w:hAnsi="Cambria Math"/>
                  </w:rPr>
                  <m:t>Θ</m:t>
                </m:r>
              </m:den>
            </m:f>
          </m:e>
        </m:d>
        <m:r>
          <m:rPr>
            <m:sty m:val="p"/>
          </m:rP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Henry</m:t>
            </m:r>
          </m:den>
        </m:f>
        <m:r>
          <m:rPr>
            <m:sty m:val="p"/>
          </m:rPr>
          <w:rPr>
            <w:rFonts w:ascii="Cambria Math" w:hAnsi="Cambria Math"/>
          </w:rPr>
          <m:t>)</m:t>
        </m:r>
      </m:oMath>
      <w:r>
        <w:t xml:space="preserve"> </w:t>
      </w:r>
      <w:r>
        <w:tab/>
      </w:r>
      <w:r w:rsidR="00E35F2F">
        <w:tab/>
      </w:r>
      <w:r>
        <w:t>(2)</w:t>
      </w:r>
    </w:p>
    <w:p w:rsidR="00B13DDC" w:rsidRDefault="006B42AD" w:rsidP="006E0BC6">
      <w:pPr>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eq</m:t>
            </m:r>
            <m:r>
              <m:rPr>
                <m:sty m:val="p"/>
              </m:rPr>
              <w:rPr>
                <w:rFonts w:ascii="Cambria Math" w:hAnsi="Cambria Math"/>
              </w:rPr>
              <m:t>_</m:t>
            </m:r>
            <m:r>
              <w:rPr>
                <w:rFonts w:ascii="Cambria Math" w:hAnsi="Cambria Math"/>
              </w:rPr>
              <m:t>part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1</m:t>
                </m:r>
              </m:sub>
            </m:sSub>
          </m:den>
        </m:f>
      </m:oMath>
      <w:r w:rsidR="002D32DB">
        <w:rPr>
          <w:rFonts w:eastAsiaTheme="minorEastAsia"/>
        </w:rPr>
        <w:tab/>
      </w:r>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Henry</m:t>
            </m:r>
          </m:den>
        </m:f>
        <m:r>
          <m:rPr>
            <m:sty m:val="p"/>
          </m:rPr>
          <w:rPr>
            <w:rFonts w:ascii="Cambria Math" w:eastAsiaTheme="minorEastAsia" w:hAnsi="Cambria Math"/>
          </w:rPr>
          <m:t>)</m:t>
        </m:r>
      </m:oMath>
      <w:r w:rsidR="002D32DB">
        <w:rPr>
          <w:rFonts w:eastAsiaTheme="minorEastAsia"/>
        </w:rPr>
        <w:tab/>
      </w:r>
      <w:r w:rsidR="0026457E">
        <w:rPr>
          <w:rFonts w:eastAsiaTheme="minorEastAsia"/>
        </w:rPr>
        <w:tab/>
      </w:r>
      <w:r w:rsidR="0026457E">
        <w:rPr>
          <w:rFonts w:eastAsiaTheme="minorEastAsia"/>
        </w:rPr>
        <w:tab/>
      </w:r>
      <w:r w:rsidR="0026457E">
        <w:rPr>
          <w:rFonts w:eastAsiaTheme="minorEastAsia"/>
        </w:rPr>
        <w:tab/>
      </w:r>
      <w:r w:rsidR="0026457E">
        <w:rPr>
          <w:rFonts w:eastAsiaTheme="minorEastAsia"/>
        </w:rPr>
        <w:tab/>
      </w:r>
      <w:r w:rsidR="0026457E">
        <w:rPr>
          <w:rFonts w:eastAsiaTheme="minorEastAsia"/>
        </w:rPr>
        <w:tab/>
      </w:r>
      <w:r w:rsidR="0026457E">
        <w:rPr>
          <w:rFonts w:eastAsiaTheme="minorEastAsia"/>
        </w:rPr>
        <w:tab/>
      </w:r>
      <w:r w:rsidR="002D32DB">
        <w:rPr>
          <w:rFonts w:eastAsiaTheme="minorEastAsia"/>
        </w:rPr>
        <w:t>(3)</w:t>
      </w:r>
    </w:p>
    <w:p w:rsidR="004775F3" w:rsidRPr="009D7190" w:rsidRDefault="004775F3" w:rsidP="006E0BC6">
      <w:pPr>
        <w:rPr>
          <w:rFonts w:eastAsiaTheme="minorEastAsia"/>
        </w:rPr>
      </w:pPr>
    </w:p>
    <w:p w:rsidR="00C60A81" w:rsidRDefault="0074685D" w:rsidP="006E0BC6">
      <w:r>
        <w:t>In part 2, the angle is b</w:t>
      </w:r>
      <w:r w:rsidR="00C60A81">
        <w:t>etween 77.36</w:t>
      </w:r>
      <w:r w:rsidR="00C60A81" w:rsidRPr="00135A2D">
        <w:t>°</w:t>
      </w:r>
      <w:r w:rsidR="00C60A81">
        <w:t>-102.64</w:t>
      </w:r>
      <w:r w:rsidR="00C60A81" w:rsidRPr="00135A2D">
        <w:t>°</w:t>
      </w:r>
      <w:r w:rsidR="00C60A81">
        <w:t xml:space="preserve"> degrees, all the flux is assumed to be flowing through the 10mm radius part</w:t>
      </w:r>
      <w:r w:rsidR="0022742D">
        <w:t xml:space="preserve"> and</w:t>
      </w:r>
      <w:r w:rsidR="00C60A81">
        <w:t xml:space="preserve"> </w:t>
      </w:r>
      <w:r w:rsidR="008A7DD5">
        <w:t>reluctance does not change with the position.</w:t>
      </w:r>
      <w:r w:rsidR="00824C01">
        <w:t xml:space="preserve"> </w:t>
      </w:r>
      <w:r w:rsidR="00537A0D">
        <w:t>The resultant reluctance is provided in (4).</w:t>
      </w:r>
    </w:p>
    <w:p w:rsidR="00CE7CED" w:rsidRDefault="00CE7CED" w:rsidP="006E0BC6"/>
    <w:p w:rsidR="005D367E" w:rsidRDefault="005D367E" w:rsidP="006E0BC6">
      <m:oMath>
        <m:sSub>
          <m:sSubPr>
            <m:ctrlPr>
              <w:rPr>
                <w:rFonts w:ascii="Cambria Math" w:hAnsi="Cambria Math"/>
              </w:rPr>
            </m:ctrlPr>
          </m:sSubPr>
          <m:e>
            <m:r>
              <w:rPr>
                <w:rFonts w:ascii="Cambria Math" w:hAnsi="Cambria Math"/>
              </w:rPr>
              <m:t>R</m:t>
            </m:r>
          </m:e>
          <m:sub>
            <m:r>
              <w:rPr>
                <w:rFonts w:ascii="Cambria Math" w:hAnsi="Cambria Math"/>
              </w:rPr>
              <m:t>eq</m:t>
            </m:r>
            <m:r>
              <m:rPr>
                <m:sty m:val="p"/>
              </m:rPr>
              <w:rPr>
                <w:rFonts w:ascii="Cambria Math" w:hAnsi="Cambria Math"/>
              </w:rPr>
              <m:t>_</m:t>
            </m:r>
            <m:r>
              <w:rPr>
                <w:rFonts w:ascii="Cambria Math" w:hAnsi="Cambria Math"/>
              </w:rPr>
              <m:t>part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10</m:t>
                </m:r>
                <m:r>
                  <w:rPr>
                    <w:rFonts w:ascii="Cambria Math" w:hAnsi="Cambria Math"/>
                  </w:rPr>
                  <m:t>mm</m:t>
                </m:r>
              </m:sub>
            </m:sSub>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m:rPr>
                    <m:sty m:val="p"/>
                  </m:rPr>
                  <w:rPr>
                    <w:rFonts w:ascii="Cambria Math" w:hAnsi="Cambria Math"/>
                  </w:rPr>
                  <m:t>10</m:t>
                </m:r>
                <m:r>
                  <w:rPr>
                    <w:rFonts w:ascii="Cambria Math" w:hAnsi="Cambria Math"/>
                  </w:rPr>
                  <m:t>mm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77.36</m:t>
                </m:r>
              </m:num>
              <m:den>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den>
            </m:f>
            <m:r>
              <m:rPr>
                <m:sty m:val="p"/>
              </m:rPr>
              <w:rPr>
                <w:rFonts w:ascii="Cambria Math" w:hAnsi="Cambria Math"/>
              </w:rPr>
              <m:t>*2</m:t>
            </m:r>
            <m:r>
              <w:rPr>
                <w:rFonts w:ascii="Cambria Math" w:hAnsi="Cambria Math"/>
              </w:rPr>
              <m:t>π</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m:t>
        </m:r>
        <m:r>
          <m:rPr>
            <m:sty m:val="p"/>
          </m:rPr>
          <w:rPr>
            <w:rFonts w:ascii="Cambria Math" w:hAnsi="Cambria Math"/>
          </w:rPr>
          <m:t>14734531</m:t>
        </m:r>
        <m:r>
          <m:rPr>
            <m:sty m:val="p"/>
          </m:rP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Henry</m:t>
            </m:r>
          </m:den>
        </m:f>
        <m:r>
          <m:rPr>
            <m:sty m:val="p"/>
          </m:rPr>
          <w:rPr>
            <w:rFonts w:ascii="Cambria Math" w:hAnsi="Cambria Math"/>
          </w:rPr>
          <m:t>)</m:t>
        </m:r>
      </m:oMath>
      <w:r w:rsidR="002413C1">
        <w:tab/>
      </w:r>
      <w:r w:rsidR="00021712">
        <w:t>(4)</w:t>
      </w:r>
    </w:p>
    <w:p w:rsidR="00CE7CED" w:rsidRDefault="00CE7CED" w:rsidP="006E0BC6"/>
    <w:p w:rsidR="0082096E" w:rsidRDefault="00AD369D" w:rsidP="006E0BC6">
      <w:r>
        <w:t>In part 3, the angle is between 102.64</w:t>
      </w:r>
      <w:r w:rsidRPr="00135A2D">
        <w:t>°</w:t>
      </w:r>
      <w:r>
        <w:t>-180</w:t>
      </w:r>
      <w:r w:rsidRPr="00135A2D">
        <w:t>°</w:t>
      </w:r>
      <w:r>
        <w:t xml:space="preserve"> degrees, similar to the part 1, the flux is shared between two radial part</w:t>
      </w:r>
      <w:r w:rsidR="00F105B3">
        <w:t>s</w:t>
      </w:r>
      <w:r>
        <w:t xml:space="preserve">. </w:t>
      </w:r>
      <w:r w:rsidR="00F04CC3">
        <w:t xml:space="preserve">The derived formulas are given in (5) &amp; (6) and the resultant </w:t>
      </w:r>
      <w:r w:rsidR="00F04CC3" w:rsidRPr="006E0BC6">
        <w:t>equivalent</w:t>
      </w:r>
      <w:r w:rsidR="00F04CC3">
        <w:t xml:space="preserve"> reluctance is given in (7).</w:t>
      </w:r>
    </w:p>
    <w:p w:rsidR="00AE69DB" w:rsidRDefault="00AE69DB" w:rsidP="006E0BC6">
      <m:oMath>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12</m:t>
                </m:r>
                <m:r>
                  <w:rPr>
                    <w:rFonts w:ascii="Cambria Math" w:hAnsi="Cambria Math"/>
                  </w:rPr>
                  <m:t>mm</m:t>
                </m:r>
              </m:sub>
            </m:sSub>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r>
                  <w:rPr>
                    <w:rFonts w:ascii="Cambria Math" w:hAnsi="Cambria Math"/>
                  </w:rPr>
                  <m:t>mm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Θ</m:t>
                    </m:r>
                    <m:r>
                      <m:rPr>
                        <m:sty m:val="p"/>
                      </m:rPr>
                      <w:rPr>
                        <w:rFonts w:ascii="Cambria Math" w:hAnsi="Cambria Math"/>
                      </w:rPr>
                      <m:t>-102.64</m:t>
                    </m:r>
                  </m:e>
                  <m:sup>
                    <m:r>
                      <m:rPr>
                        <m:sty m:val="p"/>
                      </m:rPr>
                      <w:rPr>
                        <w:rFonts w:ascii="Cambria Math" w:hAnsi="Cambria Math"/>
                      </w:rPr>
                      <m:t>°</m:t>
                    </m:r>
                  </m:sup>
                </m:sSup>
                <m:r>
                  <m:rPr>
                    <m:sty m:val="p"/>
                  </m:rPr>
                  <w:rPr>
                    <w:rFonts w:ascii="Cambria Math" w:hAnsi="Cambria Math"/>
                  </w:rPr>
                  <m:t>)</m:t>
                </m:r>
              </m:num>
              <m:den>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den>
            </m:f>
            <m:r>
              <m:rPr>
                <m:sty m:val="p"/>
              </m:rPr>
              <w:rPr>
                <w:rFonts w:ascii="Cambria Math" w:hAnsi="Cambria Math"/>
              </w:rPr>
              <m:t>*2</m:t>
            </m:r>
            <m:r>
              <w:rPr>
                <w:rFonts w:ascii="Cambria Math" w:hAnsi="Cambria Math"/>
              </w:rPr>
              <m:t>π</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=527714*</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num>
              <m:den>
                <m:sSup>
                  <m:sSupPr>
                    <m:ctrlPr>
                      <w:rPr>
                        <w:rFonts w:ascii="Cambria Math" w:hAnsi="Cambria Math"/>
                      </w:rPr>
                    </m:ctrlPr>
                  </m:sSupPr>
                  <m:e>
                    <m:r>
                      <m:rPr>
                        <m:sty m:val="p"/>
                      </m:rPr>
                      <w:rPr>
                        <w:rFonts w:ascii="Cambria Math" w:hAnsi="Cambria Math"/>
                      </w:rPr>
                      <m:t>(</m:t>
                    </m:r>
                    <m:r>
                      <w:rPr>
                        <w:rFonts w:ascii="Cambria Math" w:hAnsi="Cambria Math"/>
                      </w:rPr>
                      <m:t>Θ</m:t>
                    </m:r>
                    <m:r>
                      <m:rPr>
                        <m:sty m:val="p"/>
                      </m:rPr>
                      <w:rPr>
                        <w:rFonts w:ascii="Cambria Math" w:hAnsi="Cambria Math"/>
                      </w:rPr>
                      <m:t>-102.64</m:t>
                    </m:r>
                  </m:e>
                  <m:sup>
                    <m:r>
                      <m:rPr>
                        <m:sty m:val="p"/>
                      </m:rPr>
                      <w:rPr>
                        <w:rFonts w:ascii="Cambria Math" w:hAnsi="Cambria Math"/>
                      </w:rPr>
                      <m:t>°</m:t>
                    </m:r>
                  </m:sup>
                </m:sSup>
                <m:r>
                  <m:rPr>
                    <m:sty m:val="p"/>
                  </m:rPr>
                  <w:rPr>
                    <w:rFonts w:ascii="Cambria Math" w:hAnsi="Cambria Math"/>
                  </w:rPr>
                  <m:t>)</m:t>
                </m:r>
              </m:den>
            </m:f>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Henry</m:t>
            </m:r>
          </m:den>
        </m:f>
        <m:r>
          <m:rPr>
            <m:sty m:val="p"/>
          </m:rPr>
          <w:rPr>
            <w:rFonts w:ascii="Cambria Math" w:hAnsi="Cambria Math"/>
          </w:rPr>
          <m:t>)</m:t>
        </m:r>
      </m:oMath>
      <w:r>
        <w:t xml:space="preserve">  (</w:t>
      </w:r>
      <w:r w:rsidR="00E25244">
        <w:t>5</w:t>
      </w:r>
      <w:r>
        <w:t>)</w:t>
      </w:r>
    </w:p>
    <w:p w:rsidR="00AE69DB" w:rsidRDefault="00AE69DB" w:rsidP="006E0BC6">
      <m:oMath>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10</m:t>
                </m:r>
                <m:r>
                  <w:rPr>
                    <w:rFonts w:ascii="Cambria Math" w:hAnsi="Cambria Math"/>
                  </w:rPr>
                  <m:t>mm</m:t>
                </m:r>
              </m:sub>
            </m:sSub>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m:rPr>
                    <m:sty m:val="p"/>
                  </m:rPr>
                  <w:rPr>
                    <w:rFonts w:ascii="Cambria Math" w:hAnsi="Cambria Math"/>
                  </w:rPr>
                  <m:t>10</m:t>
                </m:r>
                <m:r>
                  <w:rPr>
                    <w:rFonts w:ascii="Cambria Math" w:hAnsi="Cambria Math"/>
                  </w:rPr>
                  <m:t>mm</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num>
          <m:den>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(180</m:t>
                </m:r>
                <m:r>
                  <m:rPr>
                    <m:sty m:val="p"/>
                  </m:rPr>
                  <w:rPr>
                    <w:rFonts w:ascii="Cambria Math" w:hAnsi="Cambria Math"/>
                  </w:rPr>
                  <m:t>°</m:t>
                </m:r>
                <m:r>
                  <m:rPr>
                    <m:sty m:val="p"/>
                  </m:rPr>
                  <w:rPr>
                    <w:rFonts w:ascii="Cambria Math" w:hAnsi="Cambria Math"/>
                  </w:rPr>
                  <m:t>-</m:t>
                </m:r>
                <m:r>
                  <w:rPr>
                    <w:rFonts w:ascii="Cambria Math" w:hAnsi="Cambria Math"/>
                  </w:rPr>
                  <m:t>Θ</m:t>
                </m:r>
                <m:r>
                  <w:rPr>
                    <w:rFonts w:ascii="Cambria Math" w:hAnsi="Cambria Math"/>
                  </w:rPr>
                  <m:t>)</m:t>
                </m:r>
              </m:num>
              <m:den>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den>
            </m:f>
            <m:r>
              <m:rPr>
                <m:sty m:val="p"/>
              </m:rPr>
              <w:rPr>
                <w:rFonts w:ascii="Cambria Math" w:hAnsi="Cambria Math"/>
              </w:rPr>
              <m:t>*2</m:t>
            </m:r>
            <m:r>
              <w:rPr>
                <w:rFonts w:ascii="Cambria Math" w:hAnsi="Cambria Math"/>
              </w:rPr>
              <m:t>π</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=3166286*</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num>
              <m:den>
                <m:r>
                  <w:rPr>
                    <w:rFonts w:ascii="Cambria Math" w:hAnsi="Cambria Math"/>
                  </w:rPr>
                  <m:t>180-</m:t>
                </m:r>
                <m:r>
                  <w:rPr>
                    <w:rFonts w:ascii="Cambria Math" w:hAnsi="Cambria Math"/>
                  </w:rPr>
                  <m:t>Θ</m:t>
                </m:r>
              </m:den>
            </m:f>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Henry</m:t>
            </m:r>
          </m:den>
        </m:f>
        <m:r>
          <m:rPr>
            <m:sty m:val="p"/>
          </m:rPr>
          <w:rPr>
            <w:rFonts w:ascii="Cambria Math" w:hAnsi="Cambria Math"/>
          </w:rPr>
          <m:t>)</m:t>
        </m:r>
      </m:oMath>
      <w:r>
        <w:t xml:space="preserve"> </w:t>
      </w:r>
      <w:r>
        <w:tab/>
      </w:r>
      <w:r w:rsidR="003F4066">
        <w:t xml:space="preserve"> </w:t>
      </w:r>
      <w:r>
        <w:t>(</w:t>
      </w:r>
      <w:r w:rsidR="00E25244">
        <w:t>6</w:t>
      </w:r>
      <w:r>
        <w:t>)</w:t>
      </w:r>
    </w:p>
    <w:p w:rsidR="00AE69DB" w:rsidRDefault="00AE69DB" w:rsidP="006E0BC6">
      <w:pPr>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eq</m:t>
            </m:r>
            <m:r>
              <m:rPr>
                <m:sty m:val="p"/>
              </m:rPr>
              <w:rPr>
                <w:rFonts w:ascii="Cambria Math" w:hAnsi="Cambria Math"/>
              </w:rPr>
              <m:t>_</m:t>
            </m:r>
            <m:r>
              <w:rPr>
                <w:rFonts w:ascii="Cambria Math" w:hAnsi="Cambria Math"/>
              </w:rPr>
              <m:t>part</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12</m:t>
                </m:r>
                <m:r>
                  <w:rPr>
                    <w:rFonts w:ascii="Cambria Math" w:hAnsi="Cambria Math"/>
                  </w:rPr>
                  <m:t>m</m:t>
                </m:r>
                <m:sSub>
                  <m:sSubPr>
                    <m:ctrlPr>
                      <w:rPr>
                        <w:rFonts w:ascii="Cambria Math" w:hAnsi="Cambria Math"/>
                      </w:rPr>
                    </m:ctrlPr>
                  </m:sSubPr>
                  <m:e>
                    <m:r>
                      <w:rPr>
                        <w:rFonts w:ascii="Cambria Math" w:hAnsi="Cambria Math"/>
                      </w:rPr>
                      <m:t>m</m:t>
                    </m:r>
                    <m:ctrlPr>
                      <w:rPr>
                        <w:rFonts w:ascii="Cambria Math" w:hAnsi="Cambria Math"/>
                        <w:i/>
                        <w:iCs/>
                      </w:rPr>
                    </m:ctrlPr>
                  </m:e>
                  <m:sub>
                    <m:r>
                      <w:rPr>
                        <w:rFonts w:ascii="Cambria Math" w:hAnsi="Cambria Math"/>
                      </w:rPr>
                      <m:t>part</m:t>
                    </m:r>
                    <m:r>
                      <m:rPr>
                        <m:sty m:val="p"/>
                      </m:rPr>
                      <w:rPr>
                        <w:rFonts w:ascii="Cambria Math" w:hAnsi="Cambria Math"/>
                      </w:rPr>
                      <m:t>3</m:t>
                    </m:r>
                  </m:sub>
                </m:sSub>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10</m:t>
                </m:r>
                <m:r>
                  <w:rPr>
                    <w:rFonts w:ascii="Cambria Math" w:hAnsi="Cambria Math"/>
                  </w:rPr>
                  <m:t>mm</m:t>
                </m:r>
                <m:r>
                  <m:rPr>
                    <m:sty m:val="p"/>
                  </m:rPr>
                  <w:rPr>
                    <w:rFonts w:ascii="Cambria Math" w:hAnsi="Cambria Math"/>
                  </w:rPr>
                  <m:t>_</m:t>
                </m:r>
                <m:r>
                  <w:rPr>
                    <w:rFonts w:ascii="Cambria Math" w:hAnsi="Cambria Math"/>
                  </w:rPr>
                  <m:t>part</m:t>
                </m:r>
                <m:r>
                  <m:rPr>
                    <m:sty m:val="p"/>
                  </m:rPr>
                  <w:rPr>
                    <w:rFonts w:ascii="Cambria Math" w:hAnsi="Cambria Math"/>
                  </w:rPr>
                  <m:t>3</m:t>
                </m:r>
              </m:sub>
            </m:sSub>
          </m:den>
        </m:f>
      </m:oMath>
      <w:r>
        <w:rPr>
          <w:rFonts w:eastAsiaTheme="minorEastAsia"/>
        </w:rPr>
        <w:tab/>
      </w:r>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Henry</m:t>
            </m:r>
          </m:den>
        </m:f>
        <m:r>
          <m:rPr>
            <m:sty m:val="p"/>
          </m:rP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3F4066">
        <w:rPr>
          <w:rFonts w:eastAsiaTheme="minorEastAsia"/>
        </w:rPr>
        <w:t xml:space="preserve"> </w:t>
      </w:r>
      <w:r>
        <w:rPr>
          <w:rFonts w:eastAsiaTheme="minorEastAsia"/>
        </w:rPr>
        <w:t>(</w:t>
      </w:r>
      <w:r w:rsidR="00E25244">
        <w:rPr>
          <w:rFonts w:eastAsiaTheme="minorEastAsia"/>
        </w:rPr>
        <w:t>7</w:t>
      </w:r>
      <w:r>
        <w:rPr>
          <w:rFonts w:eastAsiaTheme="minorEastAsia"/>
        </w:rPr>
        <w:t>)</w:t>
      </w:r>
    </w:p>
    <w:p w:rsidR="00E252AB" w:rsidRDefault="00E252AB">
      <w:pPr>
        <w:ind w:firstLine="0"/>
        <w:jc w:val="left"/>
        <w:rPr>
          <w:rFonts w:eastAsiaTheme="minorEastAsia"/>
        </w:rPr>
      </w:pPr>
      <w:r>
        <w:rPr>
          <w:rFonts w:eastAsiaTheme="minorEastAsia"/>
        </w:rPr>
        <w:br w:type="page"/>
      </w:r>
    </w:p>
    <w:p w:rsidR="00AE69DB" w:rsidRDefault="004E4491" w:rsidP="004E4491">
      <w:pPr>
        <w:pStyle w:val="Heading2"/>
      </w:pPr>
      <w:r>
        <w:lastRenderedPageBreak/>
        <w:t>Resultant torque</w:t>
      </w:r>
    </w:p>
    <w:p w:rsidR="007B62E4" w:rsidRPr="007B62E4" w:rsidRDefault="00191AB5" w:rsidP="00F71636">
      <w:pPr>
        <w:ind w:firstLine="720"/>
      </w:pPr>
      <w:r>
        <w:t xml:space="preserve">The resultant reluctance, inductance and torque </w:t>
      </w:r>
      <w:r w:rsidR="001F5500">
        <w:t>versus mechanical angle due to the calculations provided in 3.1. are provided in Figure 4</w:t>
      </w:r>
      <w:r w:rsidR="005A0A62">
        <w:t xml:space="preserve"> for a constant DC excitation</w:t>
      </w:r>
      <w:r w:rsidR="001F5500">
        <w:t>.</w:t>
      </w:r>
      <w:r w:rsidR="000B173A">
        <w:t xml:space="preserve"> The torque is derived due to the variation of inductance with the mechanical angle.</w:t>
      </w:r>
    </w:p>
    <w:p w:rsidR="00191AB5" w:rsidRDefault="00191AB5" w:rsidP="00191AB5">
      <w:pPr>
        <w:keepNext/>
        <w:jc w:val="center"/>
      </w:pPr>
      <w:r>
        <w:rPr>
          <w:noProof/>
        </w:rPr>
        <w:drawing>
          <wp:inline distT="0" distB="0" distL="0" distR="0">
            <wp:extent cx="4487701" cy="409708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230" cy="4126780"/>
                    </a:xfrm>
                    <a:prstGeom prst="rect">
                      <a:avLst/>
                    </a:prstGeom>
                    <a:noFill/>
                    <a:ln>
                      <a:noFill/>
                    </a:ln>
                  </pic:spPr>
                </pic:pic>
              </a:graphicData>
            </a:graphic>
          </wp:inline>
        </w:drawing>
      </w:r>
    </w:p>
    <w:p w:rsidR="004E4491" w:rsidRDefault="00191AB5" w:rsidP="00191AB5">
      <w:pPr>
        <w:pStyle w:val="Caption"/>
        <w:jc w:val="center"/>
      </w:pPr>
      <w:r>
        <w:t xml:space="preserve">Figure </w:t>
      </w:r>
      <w:r>
        <w:fldChar w:fldCharType="begin"/>
      </w:r>
      <w:r>
        <w:instrText xml:space="preserve"> SEQ Figure \* ARABIC </w:instrText>
      </w:r>
      <w:r>
        <w:fldChar w:fldCharType="separate"/>
      </w:r>
      <w:r w:rsidR="00161526">
        <w:rPr>
          <w:noProof/>
        </w:rPr>
        <w:t>4</w:t>
      </w:r>
      <w:r>
        <w:fldChar w:fldCharType="end"/>
      </w:r>
      <w:r>
        <w:t>: Reluctance, inductance and torque vs angle graphs</w:t>
      </w:r>
    </w:p>
    <w:p w:rsidR="00092172" w:rsidRDefault="00F556E1" w:rsidP="00F556E1">
      <w:pPr>
        <w:pStyle w:val="Heading2"/>
      </w:pPr>
      <w:r>
        <w:t xml:space="preserve">Further improvements on analytical </w:t>
      </w:r>
      <w:r w:rsidR="00DF6F5D">
        <w:t>model</w:t>
      </w:r>
    </w:p>
    <w:p w:rsidR="00DF6F5D" w:rsidRDefault="00DF6F5D" w:rsidP="00DF6F5D">
      <w:r>
        <w:t xml:space="preserve">To improve the model, the airgap needed to be more accurately modeled. Note that, the effect of linear part is ignored in part 3.1. </w:t>
      </w:r>
    </w:p>
    <w:p w:rsidR="00A0269E" w:rsidRDefault="00DF6F5D" w:rsidP="00DF6F5D">
      <w:r>
        <w:t xml:space="preserve">For modeling the non-homogeneous flux distribution throughout the core, it is needed to divide the core into smaller equivalent reluctance paths and </w:t>
      </w:r>
      <w:r w:rsidR="00EF6B7F">
        <w:t>calculate</w:t>
      </w:r>
      <w:r>
        <w:t xml:space="preserve"> them separately.  </w:t>
      </w:r>
      <w:r w:rsidR="00EF6B7F">
        <w:t>Moreover, some critical airgap sections, such as sharp corners, can also be added to the calculation. The model can be improved by dividing the core and its environment to smaller sections and calculate them separately, which is the point where we use FEA tools.</w:t>
      </w:r>
    </w:p>
    <w:p w:rsidR="00497180" w:rsidRDefault="00F27DCD" w:rsidP="00DF6F5D">
      <w:r>
        <w:t xml:space="preserve">In the analytical calculations, the core flux distribution is assumed to be uniform. </w:t>
      </w:r>
      <w:r w:rsidR="00F33681">
        <w:t xml:space="preserve">Since in the real core is not infinitely permeable, the inductance </w:t>
      </w:r>
      <w:r w:rsidR="007122BE">
        <w:t>may</w:t>
      </w:r>
      <w:r w:rsidR="00F33681">
        <w:t xml:space="preserve"> decrease. </w:t>
      </w:r>
      <w:r w:rsidR="00E82065">
        <w:t>On the other hand</w:t>
      </w:r>
      <w:r w:rsidR="00F33681">
        <w:t>, due to the fringing fluxes and non-homogeneous flux distribution</w:t>
      </w:r>
      <w:r>
        <w:t xml:space="preserve"> inside the core</w:t>
      </w:r>
      <w:r w:rsidR="00F33681">
        <w:t>, the resultant inductance may increase</w:t>
      </w:r>
      <w:r w:rsidR="00E82065">
        <w:t xml:space="preserve">, assuming core did not </w:t>
      </w:r>
      <w:proofErr w:type="spellStart"/>
      <w:r w:rsidR="00E82065">
        <w:t>sature</w:t>
      </w:r>
      <w:proofErr w:type="spellEnd"/>
      <w:r w:rsidR="00581951">
        <w:t>.</w:t>
      </w:r>
    </w:p>
    <w:p w:rsidR="00A0269E" w:rsidRDefault="00A0269E">
      <w:pPr>
        <w:ind w:firstLine="0"/>
        <w:jc w:val="left"/>
      </w:pPr>
      <w:r>
        <w:br w:type="page"/>
      </w:r>
    </w:p>
    <w:p w:rsidR="00EF6B7F" w:rsidRDefault="00A0269E" w:rsidP="00AD6017">
      <w:pPr>
        <w:pStyle w:val="Heading1"/>
      </w:pPr>
      <w:r>
        <w:lastRenderedPageBreak/>
        <w:t xml:space="preserve">Question 2: </w:t>
      </w:r>
      <w:r w:rsidRPr="00A0269E">
        <w:t>FEA Modelling (2D - Linear Materials)</w:t>
      </w:r>
    </w:p>
    <w:p w:rsidR="008D0D84" w:rsidRPr="008D0D84" w:rsidRDefault="008D0D84" w:rsidP="008D0D84">
      <w:pPr>
        <w:pStyle w:val="Heading2"/>
      </w:pPr>
      <w:r>
        <w:t>Flux</w:t>
      </w:r>
      <w:r w:rsidR="001643DB">
        <w:t xml:space="preserve"> </w:t>
      </w:r>
      <w:r w:rsidR="005A6702">
        <w:t xml:space="preserve">density </w:t>
      </w:r>
      <w:r w:rsidR="001643DB">
        <w:t>distribution</w:t>
      </w:r>
      <w:r w:rsidR="00EC2D33">
        <w:t>s</w:t>
      </w:r>
      <w:r>
        <w:t xml:space="preserve"> at </w:t>
      </w:r>
      <w:r w:rsidR="00675074">
        <w:t xml:space="preserve">rotor angle </w:t>
      </w:r>
      <w:r>
        <w:t>0</w:t>
      </w:r>
      <w:r w:rsidRPr="008D0D84">
        <w:t>°</w:t>
      </w:r>
      <w:r>
        <w:t xml:space="preserve"> - 45</w:t>
      </w:r>
      <w:r w:rsidRPr="008D0D84">
        <w:t>°</w:t>
      </w:r>
      <w:r>
        <w:t xml:space="preserve"> - 9</w:t>
      </w:r>
      <w:r>
        <w:t>0</w:t>
      </w:r>
      <w:r w:rsidRPr="008D0D84">
        <w:t>°</w:t>
      </w:r>
    </w:p>
    <w:p w:rsidR="00CA06D8" w:rsidRDefault="00557604" w:rsidP="00557604">
      <w:r>
        <w:t>In this secti</w:t>
      </w:r>
      <w:r w:rsidR="005F7D0B">
        <w:t xml:space="preserve">on, the FEA model of the machine is made using ANSYS Maxwell FEA tool. </w:t>
      </w:r>
      <w:r w:rsidR="00343CAD">
        <w:t>As material, iron with relative permeability 4000 has chosen</w:t>
      </w:r>
      <w:r w:rsidR="008645B1">
        <w:t>.</w:t>
      </w:r>
      <w:r w:rsidR="00A4580C">
        <w:t xml:space="preserve"> The resultant flux vectors and flux density distributions are provided in </w:t>
      </w:r>
      <w:r w:rsidR="006E1751">
        <w:t>Figure 5</w:t>
      </w:r>
      <w:r w:rsidR="00021ABB">
        <w:t>.</w:t>
      </w:r>
      <w:r w:rsidR="006E1751">
        <w:t xml:space="preserve"> </w:t>
      </w:r>
    </w:p>
    <w:p w:rsidR="00B466E2" w:rsidRDefault="00CA06D8" w:rsidP="00557604">
      <w:r>
        <w:t xml:space="preserve">It is clear to see that the flux distribution is not uniform for all cases. The flux always tries to go from the lowest reluctance path, therefore these flux distributions occur. </w:t>
      </w:r>
      <w:r w:rsidR="00A6060F">
        <w:t>At 0</w:t>
      </w:r>
      <w:r w:rsidR="00A6060F" w:rsidRPr="008D0D84">
        <w:t>°</w:t>
      </w:r>
      <w:r w:rsidR="00A6060F">
        <w:t xml:space="preserve">, the system has the highest inductance and the lowest inductance. Therefore, maximum flux flows </w:t>
      </w:r>
      <w:r w:rsidR="00B466E2">
        <w:t xml:space="preserve">when to rotor is </w:t>
      </w:r>
      <w:r w:rsidR="00A6060F">
        <w:t xml:space="preserve">in this position. </w:t>
      </w:r>
      <w:r w:rsidR="00695BF6">
        <w:t xml:space="preserve">Flux vectors are going in radial direction in the airgap, as can be seen from the Figure 5 flux vector distribution, since it is shortest reluctance path. The flux distribution on the rotary part is symmetrical, meaning that the rotor is at one of its stable </w:t>
      </w:r>
      <w:r w:rsidR="00FE7AB9">
        <w:t>positions</w:t>
      </w:r>
      <w:r w:rsidR="002D165A">
        <w:t>, meaning that, net torque at this position is ideally zero</w:t>
      </w:r>
      <w:r w:rsidR="00695BF6">
        <w:t xml:space="preserve">. Also, the </w:t>
      </w:r>
      <w:r w:rsidR="00A6060F">
        <w:t>flux is concentrated on the corners and sharp edges of the rotating parts. The core is more likely to saturate at these regions.</w:t>
      </w:r>
      <w:r w:rsidR="00B466E2">
        <w:t xml:space="preserve"> </w:t>
      </w:r>
    </w:p>
    <w:p w:rsidR="00033F0A" w:rsidRDefault="00033F0A" w:rsidP="00557604">
      <w:r>
        <w:t>At 45</w:t>
      </w:r>
      <w:r w:rsidRPr="008D0D84">
        <w:t>°</w:t>
      </w:r>
      <w:r>
        <w:t xml:space="preserve">, the inductance is reduced as well as the flux </w:t>
      </w:r>
      <w:r w:rsidR="001F0BDC">
        <w:t xml:space="preserve">flowing through the </w:t>
      </w:r>
      <w:r>
        <w:t xml:space="preserve">core. </w:t>
      </w:r>
      <w:r w:rsidR="007C3843">
        <w:t>In this position, it is clear</w:t>
      </w:r>
      <w:r w:rsidR="00B466E2">
        <w:t>er to see</w:t>
      </w:r>
      <w:r w:rsidR="007C3843">
        <w:t xml:space="preserve"> the flux density increment at the sharp edges of rotor part.</w:t>
      </w:r>
      <w:r w:rsidR="00B466E2">
        <w:t xml:space="preserve"> </w:t>
      </w:r>
    </w:p>
    <w:p w:rsidR="00695BF6" w:rsidRDefault="00695BF6" w:rsidP="00557604">
      <w:r>
        <w:t>At 90</w:t>
      </w:r>
      <w:r w:rsidRPr="008D0D84">
        <w:t>°</w:t>
      </w:r>
      <w:r>
        <w:t>, the flux is at minimum since the rotor at its minimum inductance point. Flux distribution on the rota</w:t>
      </w:r>
      <w:r w:rsidR="003C162E">
        <w:t xml:space="preserve">ry part is </w:t>
      </w:r>
      <w:r w:rsidR="005F1241">
        <w:t>symmetrical</w:t>
      </w:r>
      <w:r w:rsidR="003C162E">
        <w:t>, therefore this position also one of the stable positions.</w:t>
      </w:r>
    </w:p>
    <w:p w:rsidR="00675074" w:rsidRDefault="00675074" w:rsidP="00675074">
      <w:pPr>
        <w:pStyle w:val="Heading2"/>
      </w:pPr>
      <w:r>
        <w:t xml:space="preserve">Inductance and stored energy at rotor angle </w:t>
      </w:r>
      <w:r>
        <w:t>0</w:t>
      </w:r>
      <w:r w:rsidRPr="008D0D84">
        <w:t>°</w:t>
      </w:r>
      <w:r>
        <w:t xml:space="preserve"> - 45</w:t>
      </w:r>
      <w:r w:rsidRPr="008D0D84">
        <w:t>°</w:t>
      </w:r>
      <w:r>
        <w:t xml:space="preserve"> - 90</w:t>
      </w:r>
      <w:r w:rsidRPr="008D0D84">
        <w:t>°</w:t>
      </w:r>
    </w:p>
    <w:p w:rsidR="00291AB1" w:rsidRPr="00291AB1" w:rsidRDefault="00754A97" w:rsidP="00291AB1">
      <w:r>
        <w:t xml:space="preserve">Inductance and stored energy results are given in Table 1. It can be seen that at </w:t>
      </w:r>
      <w:r>
        <w:t>0</w:t>
      </w:r>
      <w:r w:rsidRPr="008D0D84">
        <w:t>°</w:t>
      </w:r>
      <w:r>
        <w:t xml:space="preserve">, the magnetic energy stored in the core is the highest since the inductance is also at maximum value. Volume integral energy storage and inductance energy are resulted approximately the same value. </w:t>
      </w:r>
      <w:r w:rsidR="00B019C9">
        <w:t>The FEA calculated inductance values are close to the analytical calculation finding. The</w:t>
      </w:r>
      <w:r w:rsidR="00EB755F">
        <w:t xml:space="preserve"> result</w:t>
      </w:r>
      <w:r w:rsidR="004B2A4C">
        <w:t>s of both methods</w:t>
      </w:r>
      <w:r w:rsidR="00CB7AC2">
        <w:t xml:space="preserve"> are</w:t>
      </w:r>
      <w:r w:rsidR="00EB755F">
        <w:t xml:space="preserve"> compared more intensively in 4.3.</w:t>
      </w:r>
    </w:p>
    <w:p w:rsidR="00291AB1" w:rsidRDefault="00291AB1" w:rsidP="00291AB1">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Inductance and stored energy FEA results</w:t>
      </w:r>
    </w:p>
    <w:tbl>
      <w:tblPr>
        <w:tblStyle w:val="TableGrid"/>
        <w:tblW w:w="0" w:type="auto"/>
        <w:tblLook w:val="04A0" w:firstRow="1" w:lastRow="0" w:firstColumn="1" w:lastColumn="0" w:noHBand="0" w:noVBand="1"/>
      </w:tblPr>
      <w:tblGrid>
        <w:gridCol w:w="2508"/>
        <w:gridCol w:w="2667"/>
        <w:gridCol w:w="2617"/>
        <w:gridCol w:w="2278"/>
      </w:tblGrid>
      <w:tr w:rsidR="00887B7D" w:rsidTr="00887B7D">
        <w:tc>
          <w:tcPr>
            <w:tcW w:w="2508" w:type="dxa"/>
          </w:tcPr>
          <w:p w:rsidR="00887B7D" w:rsidRDefault="00887B7D" w:rsidP="00887B7D">
            <w:pPr>
              <w:tabs>
                <w:tab w:val="left" w:pos="1840"/>
              </w:tabs>
              <w:ind w:firstLine="0"/>
              <w:jc w:val="center"/>
            </w:pPr>
            <w:r>
              <w:t>Rotor angle</w:t>
            </w:r>
          </w:p>
        </w:tc>
        <w:tc>
          <w:tcPr>
            <w:tcW w:w="2667" w:type="dxa"/>
          </w:tcPr>
          <w:p w:rsidR="00887B7D" w:rsidRDefault="00887B7D" w:rsidP="00887B7D">
            <w:pPr>
              <w:ind w:firstLine="0"/>
              <w:jc w:val="center"/>
            </w:pPr>
            <w:r>
              <w:t>Inductance</w:t>
            </w:r>
          </w:p>
          <w:p w:rsidR="00DA65CB" w:rsidRDefault="00DA65CB" w:rsidP="00DA65CB">
            <w:pPr>
              <w:ind w:firstLine="0"/>
              <w:jc w:val="center"/>
            </w:pPr>
            <w:r>
              <w:t>(</w:t>
            </w:r>
            <w:proofErr w:type="spellStart"/>
            <w:r>
              <w:t>mH</w:t>
            </w:r>
            <w:proofErr w:type="spellEnd"/>
            <w:r>
              <w:t>)</w:t>
            </w:r>
          </w:p>
        </w:tc>
        <w:tc>
          <w:tcPr>
            <w:tcW w:w="2617" w:type="dxa"/>
          </w:tcPr>
          <w:p w:rsidR="00887B7D" w:rsidRDefault="00887B7D" w:rsidP="00887B7D">
            <w:pPr>
              <w:ind w:firstLine="0"/>
              <w:jc w:val="center"/>
            </w:pPr>
            <w:r>
              <w:t xml:space="preserve">Stored Energy </w:t>
            </w:r>
            <w:r w:rsidR="00493879">
              <w:t>(J)</w:t>
            </w:r>
          </w:p>
          <w:p w:rsidR="00887B7D" w:rsidRDefault="00887B7D" w:rsidP="00887B7D">
            <w:pPr>
              <w:ind w:firstLine="0"/>
              <w:jc w:val="center"/>
            </w:pPr>
            <w:r>
              <w:t>(Volume integral</w:t>
            </w:r>
            <w:r>
              <w:t>)</w:t>
            </w:r>
          </w:p>
        </w:tc>
        <w:tc>
          <w:tcPr>
            <w:tcW w:w="2278" w:type="dxa"/>
          </w:tcPr>
          <w:p w:rsidR="00887B7D" w:rsidRDefault="00887B7D" w:rsidP="00887B7D">
            <w:pPr>
              <w:ind w:firstLine="0"/>
              <w:jc w:val="center"/>
            </w:pPr>
            <w:r>
              <w:t>Stored Energy</w:t>
            </w:r>
            <w:r w:rsidR="00493879">
              <w:t xml:space="preserve"> (J)</w:t>
            </w:r>
          </w:p>
          <w:p w:rsidR="00887B7D" w:rsidRDefault="00887B7D" w:rsidP="00887B7D">
            <w:pPr>
              <w:ind w:firstLine="0"/>
              <w:jc w:val="center"/>
            </w:pPr>
            <w:r>
              <w:t>(0.5*I</w:t>
            </w:r>
            <w:r w:rsidR="00DA65CB" w:rsidRPr="00DA65CB">
              <w:rPr>
                <w:vertAlign w:val="subscript"/>
              </w:rPr>
              <w:t>dc</w:t>
            </w:r>
            <w:r>
              <w:rPr>
                <w:vertAlign w:val="superscript"/>
              </w:rPr>
              <w:t>2</w:t>
            </w:r>
            <w:r>
              <w:t>*L)</w:t>
            </w:r>
          </w:p>
        </w:tc>
      </w:tr>
      <w:tr w:rsidR="00887B7D" w:rsidTr="00887B7D">
        <w:tc>
          <w:tcPr>
            <w:tcW w:w="2508" w:type="dxa"/>
          </w:tcPr>
          <w:p w:rsidR="00887B7D" w:rsidRDefault="00DA65CB" w:rsidP="00DA65CB">
            <w:pPr>
              <w:ind w:firstLine="0"/>
              <w:jc w:val="center"/>
            </w:pPr>
            <w:r w:rsidRPr="00DA65CB">
              <w:t>0°</w:t>
            </w:r>
          </w:p>
        </w:tc>
        <w:tc>
          <w:tcPr>
            <w:tcW w:w="2667" w:type="dxa"/>
          </w:tcPr>
          <w:p w:rsidR="00887B7D" w:rsidRDefault="001D22FF" w:rsidP="00DA65CB">
            <w:pPr>
              <w:ind w:firstLine="0"/>
              <w:jc w:val="center"/>
            </w:pPr>
            <w:r>
              <w:t>27.29</w:t>
            </w:r>
          </w:p>
        </w:tc>
        <w:tc>
          <w:tcPr>
            <w:tcW w:w="2617" w:type="dxa"/>
          </w:tcPr>
          <w:p w:rsidR="00887B7D" w:rsidRDefault="001D22FF" w:rsidP="00DA65CB">
            <w:pPr>
              <w:ind w:firstLine="0"/>
              <w:jc w:val="center"/>
            </w:pPr>
            <w:r>
              <w:t>0.123</w:t>
            </w:r>
          </w:p>
        </w:tc>
        <w:tc>
          <w:tcPr>
            <w:tcW w:w="2278" w:type="dxa"/>
          </w:tcPr>
          <w:p w:rsidR="00887B7D" w:rsidRDefault="001D22FF" w:rsidP="00DA65CB">
            <w:pPr>
              <w:ind w:firstLine="0"/>
              <w:jc w:val="center"/>
            </w:pPr>
            <w:r>
              <w:t>0.123</w:t>
            </w:r>
          </w:p>
        </w:tc>
      </w:tr>
      <w:tr w:rsidR="00887B7D" w:rsidTr="00887B7D">
        <w:tc>
          <w:tcPr>
            <w:tcW w:w="2508" w:type="dxa"/>
          </w:tcPr>
          <w:p w:rsidR="00887B7D" w:rsidRDefault="00DA65CB" w:rsidP="00DA65CB">
            <w:pPr>
              <w:ind w:firstLine="0"/>
              <w:jc w:val="center"/>
            </w:pPr>
            <w:r>
              <w:t>45</w:t>
            </w:r>
            <w:r w:rsidRPr="008D0D84">
              <w:t>°</w:t>
            </w:r>
          </w:p>
        </w:tc>
        <w:tc>
          <w:tcPr>
            <w:tcW w:w="2667" w:type="dxa"/>
          </w:tcPr>
          <w:p w:rsidR="00887B7D" w:rsidRDefault="001D22FF" w:rsidP="00DA65CB">
            <w:pPr>
              <w:ind w:firstLine="0"/>
              <w:jc w:val="center"/>
            </w:pPr>
            <w:r>
              <w:t>17.53</w:t>
            </w:r>
          </w:p>
        </w:tc>
        <w:tc>
          <w:tcPr>
            <w:tcW w:w="2617" w:type="dxa"/>
          </w:tcPr>
          <w:p w:rsidR="00887B7D" w:rsidRDefault="001D22FF" w:rsidP="00DA65CB">
            <w:pPr>
              <w:ind w:firstLine="0"/>
              <w:jc w:val="center"/>
            </w:pPr>
            <w:r>
              <w:t>0.0789</w:t>
            </w:r>
          </w:p>
        </w:tc>
        <w:tc>
          <w:tcPr>
            <w:tcW w:w="2278" w:type="dxa"/>
          </w:tcPr>
          <w:p w:rsidR="00887B7D" w:rsidRDefault="001D22FF" w:rsidP="00DA65CB">
            <w:pPr>
              <w:ind w:firstLine="0"/>
              <w:jc w:val="center"/>
            </w:pPr>
            <w:r>
              <w:t>0.0789</w:t>
            </w:r>
          </w:p>
        </w:tc>
      </w:tr>
      <w:tr w:rsidR="00DA65CB" w:rsidTr="00887B7D">
        <w:tc>
          <w:tcPr>
            <w:tcW w:w="2508" w:type="dxa"/>
          </w:tcPr>
          <w:p w:rsidR="00DA65CB" w:rsidRDefault="00DA65CB" w:rsidP="00DA65CB">
            <w:pPr>
              <w:ind w:firstLine="0"/>
              <w:jc w:val="center"/>
            </w:pPr>
            <w:r>
              <w:t>9</w:t>
            </w:r>
            <w:r>
              <w:t>0</w:t>
            </w:r>
            <w:r w:rsidRPr="008D0D84">
              <w:t>°</w:t>
            </w:r>
          </w:p>
        </w:tc>
        <w:tc>
          <w:tcPr>
            <w:tcW w:w="2667" w:type="dxa"/>
          </w:tcPr>
          <w:p w:rsidR="00DA65CB" w:rsidRDefault="001D22FF" w:rsidP="00DA65CB">
            <w:pPr>
              <w:ind w:firstLine="0"/>
              <w:jc w:val="center"/>
            </w:pPr>
            <w:r>
              <w:t>8.36</w:t>
            </w:r>
          </w:p>
        </w:tc>
        <w:tc>
          <w:tcPr>
            <w:tcW w:w="2617" w:type="dxa"/>
          </w:tcPr>
          <w:p w:rsidR="00DA65CB" w:rsidRDefault="001D22FF" w:rsidP="00DA65CB">
            <w:pPr>
              <w:ind w:firstLine="0"/>
              <w:jc w:val="center"/>
            </w:pPr>
            <w:r>
              <w:t>0.0376</w:t>
            </w:r>
          </w:p>
        </w:tc>
        <w:tc>
          <w:tcPr>
            <w:tcW w:w="2278" w:type="dxa"/>
          </w:tcPr>
          <w:p w:rsidR="00DA65CB" w:rsidRDefault="001D22FF" w:rsidP="00DA65CB">
            <w:pPr>
              <w:ind w:firstLine="0"/>
              <w:jc w:val="center"/>
            </w:pPr>
            <w:r>
              <w:t>0.0376</w:t>
            </w:r>
          </w:p>
        </w:tc>
      </w:tr>
    </w:tbl>
    <w:p w:rsidR="00887B7D" w:rsidRPr="00887B7D" w:rsidRDefault="00887B7D" w:rsidP="00887B7D"/>
    <w:p w:rsidR="00675074" w:rsidRDefault="00675074" w:rsidP="00557604"/>
    <w:p w:rsidR="00A123C5" w:rsidRDefault="000D6CE7" w:rsidP="00A123C5">
      <w:pPr>
        <w:keepNext/>
        <w:jc w:val="center"/>
      </w:pPr>
      <w:r>
        <w:rPr>
          <w:noProof/>
        </w:rPr>
        <w:lastRenderedPageBreak/>
        <w:drawing>
          <wp:inline distT="0" distB="0" distL="0" distR="0">
            <wp:extent cx="5895833" cy="73555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9959" cy="7360740"/>
                    </a:xfrm>
                    <a:prstGeom prst="rect">
                      <a:avLst/>
                    </a:prstGeom>
                    <a:noFill/>
                    <a:ln>
                      <a:noFill/>
                    </a:ln>
                  </pic:spPr>
                </pic:pic>
              </a:graphicData>
            </a:graphic>
          </wp:inline>
        </w:drawing>
      </w:r>
    </w:p>
    <w:p w:rsidR="00EC2D33" w:rsidRDefault="00A123C5" w:rsidP="00A123C5">
      <w:pPr>
        <w:pStyle w:val="Caption"/>
        <w:jc w:val="center"/>
      </w:pPr>
      <w:r>
        <w:t xml:space="preserve">Figure </w:t>
      </w:r>
      <w:r>
        <w:fldChar w:fldCharType="begin"/>
      </w:r>
      <w:r>
        <w:instrText xml:space="preserve"> SEQ Figure \* ARABIC </w:instrText>
      </w:r>
      <w:r>
        <w:fldChar w:fldCharType="separate"/>
      </w:r>
      <w:r w:rsidR="00161526">
        <w:rPr>
          <w:noProof/>
        </w:rPr>
        <w:t>5</w:t>
      </w:r>
      <w:r>
        <w:fldChar w:fldCharType="end"/>
      </w:r>
      <w:r>
        <w:t>: Flux distribution</w:t>
      </w:r>
      <w:r w:rsidR="000D6CE7">
        <w:t>s</w:t>
      </w:r>
      <w:r>
        <w:t xml:space="preserve"> at angle 0</w:t>
      </w:r>
      <w:r w:rsidRPr="008D0D84">
        <w:t>°</w:t>
      </w:r>
      <w:r w:rsidR="000D6CE7">
        <w:t>, 45</w:t>
      </w:r>
      <w:r w:rsidR="000D6CE7" w:rsidRPr="008D0D84">
        <w:t>°</w:t>
      </w:r>
      <w:r w:rsidR="000D6CE7">
        <w:t xml:space="preserve"> and 90</w:t>
      </w:r>
      <w:r w:rsidR="000D6CE7" w:rsidRPr="008D0D84">
        <w:t>°</w:t>
      </w:r>
      <w:r w:rsidR="000D6CE7">
        <w:t xml:space="preserve"> degrees</w:t>
      </w:r>
      <w:r w:rsidR="00745289">
        <w:t xml:space="preserve"> for linear material</w:t>
      </w:r>
      <w:r w:rsidR="00F665B4">
        <w:t xml:space="preserve"> core</w:t>
      </w:r>
      <w:r w:rsidR="00745289">
        <w:t xml:space="preserve"> </w:t>
      </w:r>
      <w:r w:rsidR="00675253">
        <w:t>with relative permeability 4000</w:t>
      </w:r>
    </w:p>
    <w:p w:rsidR="00EC2D33" w:rsidRDefault="00EC2D33">
      <w:pPr>
        <w:ind w:firstLine="0"/>
        <w:jc w:val="left"/>
        <w:rPr>
          <w:i/>
          <w:iCs/>
          <w:color w:val="44546A" w:themeColor="text2"/>
          <w:sz w:val="18"/>
          <w:szCs w:val="18"/>
        </w:rPr>
      </w:pPr>
      <w:r>
        <w:br w:type="page"/>
      </w:r>
    </w:p>
    <w:p w:rsidR="00DA0A5B" w:rsidRDefault="005D1B5C" w:rsidP="005D1B5C">
      <w:pPr>
        <w:pStyle w:val="Heading2"/>
      </w:pPr>
      <w:r>
        <w:lastRenderedPageBreak/>
        <w:t>Analytical results and FEA results comparison</w:t>
      </w:r>
    </w:p>
    <w:p w:rsidR="00C3701F" w:rsidRPr="00C3701F" w:rsidRDefault="009C48E3" w:rsidP="009C48E3">
      <w:pPr>
        <w:ind w:firstLine="720"/>
      </w:pPr>
      <w:r>
        <w:t xml:space="preserve">To calculate torque values analytically, the change of inductance as a function of rotor angle is taken. Note that, analytical calculation of reluctance, and therefore inductance, is provided in 3.1. </w:t>
      </w:r>
      <w:r w:rsidR="00161526">
        <w:t>Comparison of analytical results and FEA results are provided in Figure 6. The effect of assumptions made in 3.1. can be seen from the figure. The omitted linear part</w:t>
      </w:r>
      <w:r w:rsidR="004127B1">
        <w:t xml:space="preserve">, leakage flux, non-homogeneous flux distribution may have contributed to the difference in the inductance. Moreover, it can </w:t>
      </w:r>
      <w:r w:rsidR="00650F63">
        <w:t>be seen</w:t>
      </w:r>
      <w:r w:rsidR="004127B1">
        <w:t xml:space="preserve"> that the inductance changes more smoothly when compared to analytical result.</w:t>
      </w:r>
      <w:r w:rsidR="00650F63">
        <w:t xml:space="preserve"> Even so, both results look similar to each other. FEA results must be more accurate since the calculation is done over more small pieces. However, analytical results seems to verify the FEA result</w:t>
      </w:r>
      <w:r w:rsidR="00C638B3">
        <w:t>s</w:t>
      </w:r>
      <w:bookmarkStart w:id="3" w:name="_GoBack"/>
      <w:bookmarkEnd w:id="3"/>
      <w:r w:rsidR="00650F63">
        <w:t>.</w:t>
      </w:r>
    </w:p>
    <w:p w:rsidR="00161526" w:rsidRDefault="00161526" w:rsidP="00161526">
      <w:pPr>
        <w:keepNext/>
        <w:jc w:val="center"/>
      </w:pPr>
      <w:r>
        <w:rPr>
          <w:noProof/>
        </w:rPr>
        <w:drawing>
          <wp:inline distT="0" distB="0" distL="0" distR="0">
            <wp:extent cx="5124450" cy="331191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578" cy="3317813"/>
                    </a:xfrm>
                    <a:prstGeom prst="rect">
                      <a:avLst/>
                    </a:prstGeom>
                    <a:noFill/>
                    <a:ln>
                      <a:noFill/>
                    </a:ln>
                  </pic:spPr>
                </pic:pic>
              </a:graphicData>
            </a:graphic>
          </wp:inline>
        </w:drawing>
      </w:r>
    </w:p>
    <w:p w:rsidR="005D1B5C" w:rsidRPr="005D1B5C" w:rsidRDefault="00161526" w:rsidP="0016152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Analytical &amp; FEA results for inductance and torque</w:t>
      </w:r>
    </w:p>
    <w:sectPr w:rsidR="005D1B5C" w:rsidRPr="005D1B5C" w:rsidSect="00196B7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C283F"/>
    <w:multiLevelType w:val="multilevel"/>
    <w:tmpl w:val="8734357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E"/>
    <w:rsid w:val="000044C1"/>
    <w:rsid w:val="00005683"/>
    <w:rsid w:val="00021712"/>
    <w:rsid w:val="00021ABB"/>
    <w:rsid w:val="00025AB5"/>
    <w:rsid w:val="00033D71"/>
    <w:rsid w:val="00033F0A"/>
    <w:rsid w:val="0008041C"/>
    <w:rsid w:val="000860D4"/>
    <w:rsid w:val="00092172"/>
    <w:rsid w:val="00096FCF"/>
    <w:rsid w:val="000B173A"/>
    <w:rsid w:val="000B7F9E"/>
    <w:rsid w:val="000D6CE7"/>
    <w:rsid w:val="000E1C53"/>
    <w:rsid w:val="001029B4"/>
    <w:rsid w:val="0011144F"/>
    <w:rsid w:val="00135A2D"/>
    <w:rsid w:val="00161526"/>
    <w:rsid w:val="00161F13"/>
    <w:rsid w:val="001643DB"/>
    <w:rsid w:val="0017158A"/>
    <w:rsid w:val="001871B8"/>
    <w:rsid w:val="00191AB5"/>
    <w:rsid w:val="00196B7B"/>
    <w:rsid w:val="001B1FDE"/>
    <w:rsid w:val="001D22FF"/>
    <w:rsid w:val="001F0BDC"/>
    <w:rsid w:val="001F5500"/>
    <w:rsid w:val="00201971"/>
    <w:rsid w:val="0022742D"/>
    <w:rsid w:val="0023092B"/>
    <w:rsid w:val="0023759B"/>
    <w:rsid w:val="002413C1"/>
    <w:rsid w:val="0026457E"/>
    <w:rsid w:val="00291AB1"/>
    <w:rsid w:val="002B3B1D"/>
    <w:rsid w:val="002D165A"/>
    <w:rsid w:val="002D32DB"/>
    <w:rsid w:val="002E5A75"/>
    <w:rsid w:val="002E65BA"/>
    <w:rsid w:val="003015C3"/>
    <w:rsid w:val="0031194F"/>
    <w:rsid w:val="00343CAD"/>
    <w:rsid w:val="00353F99"/>
    <w:rsid w:val="00391E2C"/>
    <w:rsid w:val="003A2FFA"/>
    <w:rsid w:val="003C162E"/>
    <w:rsid w:val="003E5A33"/>
    <w:rsid w:val="003E7AD2"/>
    <w:rsid w:val="003F4066"/>
    <w:rsid w:val="003F414D"/>
    <w:rsid w:val="004127B1"/>
    <w:rsid w:val="0041753C"/>
    <w:rsid w:val="0042393B"/>
    <w:rsid w:val="004675C9"/>
    <w:rsid w:val="0047366B"/>
    <w:rsid w:val="004775F3"/>
    <w:rsid w:val="0048279B"/>
    <w:rsid w:val="00492B59"/>
    <w:rsid w:val="00493879"/>
    <w:rsid w:val="00497180"/>
    <w:rsid w:val="004B2A4C"/>
    <w:rsid w:val="004C445E"/>
    <w:rsid w:val="004C5976"/>
    <w:rsid w:val="004D7BB9"/>
    <w:rsid w:val="004E4491"/>
    <w:rsid w:val="004F2596"/>
    <w:rsid w:val="005048A5"/>
    <w:rsid w:val="00513216"/>
    <w:rsid w:val="0053664B"/>
    <w:rsid w:val="00537A0D"/>
    <w:rsid w:val="00542037"/>
    <w:rsid w:val="00557604"/>
    <w:rsid w:val="00562B30"/>
    <w:rsid w:val="00581951"/>
    <w:rsid w:val="005A0A62"/>
    <w:rsid w:val="005A6702"/>
    <w:rsid w:val="005B2E6D"/>
    <w:rsid w:val="005D1B5C"/>
    <w:rsid w:val="005D367E"/>
    <w:rsid w:val="005F1241"/>
    <w:rsid w:val="005F7D0B"/>
    <w:rsid w:val="00603C19"/>
    <w:rsid w:val="00650F63"/>
    <w:rsid w:val="00674A86"/>
    <w:rsid w:val="00675074"/>
    <w:rsid w:val="00675253"/>
    <w:rsid w:val="00695BF6"/>
    <w:rsid w:val="006B42AD"/>
    <w:rsid w:val="006C2923"/>
    <w:rsid w:val="006C3E22"/>
    <w:rsid w:val="006C7AB6"/>
    <w:rsid w:val="006E0BC6"/>
    <w:rsid w:val="006E1751"/>
    <w:rsid w:val="00706388"/>
    <w:rsid w:val="007122BE"/>
    <w:rsid w:val="00723094"/>
    <w:rsid w:val="00732EFA"/>
    <w:rsid w:val="00745289"/>
    <w:rsid w:val="0074685D"/>
    <w:rsid w:val="00754A97"/>
    <w:rsid w:val="0076559D"/>
    <w:rsid w:val="007952A9"/>
    <w:rsid w:val="007B62E4"/>
    <w:rsid w:val="007C3843"/>
    <w:rsid w:val="007C3A1C"/>
    <w:rsid w:val="007D71AA"/>
    <w:rsid w:val="00805F69"/>
    <w:rsid w:val="0082096E"/>
    <w:rsid w:val="0082123A"/>
    <w:rsid w:val="00824C01"/>
    <w:rsid w:val="00830578"/>
    <w:rsid w:val="0083352E"/>
    <w:rsid w:val="00845AB8"/>
    <w:rsid w:val="00856D5C"/>
    <w:rsid w:val="00856DAD"/>
    <w:rsid w:val="008645B1"/>
    <w:rsid w:val="00870A48"/>
    <w:rsid w:val="00880EEA"/>
    <w:rsid w:val="00887B7D"/>
    <w:rsid w:val="008A4BDC"/>
    <w:rsid w:val="008A754A"/>
    <w:rsid w:val="008A7DD5"/>
    <w:rsid w:val="008D0D84"/>
    <w:rsid w:val="00921871"/>
    <w:rsid w:val="00926440"/>
    <w:rsid w:val="00952A1E"/>
    <w:rsid w:val="00962B9D"/>
    <w:rsid w:val="009669D9"/>
    <w:rsid w:val="009717CA"/>
    <w:rsid w:val="00976409"/>
    <w:rsid w:val="009928C5"/>
    <w:rsid w:val="009A3B73"/>
    <w:rsid w:val="009B3086"/>
    <w:rsid w:val="009B3DAC"/>
    <w:rsid w:val="009B4FD2"/>
    <w:rsid w:val="009C310D"/>
    <w:rsid w:val="009C48E3"/>
    <w:rsid w:val="009D7190"/>
    <w:rsid w:val="009F69E7"/>
    <w:rsid w:val="00A0269E"/>
    <w:rsid w:val="00A123C5"/>
    <w:rsid w:val="00A310DE"/>
    <w:rsid w:val="00A3486C"/>
    <w:rsid w:val="00A43855"/>
    <w:rsid w:val="00A4580C"/>
    <w:rsid w:val="00A54948"/>
    <w:rsid w:val="00A6060F"/>
    <w:rsid w:val="00A96590"/>
    <w:rsid w:val="00AB1F2E"/>
    <w:rsid w:val="00AD33B4"/>
    <w:rsid w:val="00AD369D"/>
    <w:rsid w:val="00AE69DB"/>
    <w:rsid w:val="00B019C9"/>
    <w:rsid w:val="00B13DDC"/>
    <w:rsid w:val="00B22D07"/>
    <w:rsid w:val="00B2427B"/>
    <w:rsid w:val="00B437C9"/>
    <w:rsid w:val="00B466E2"/>
    <w:rsid w:val="00BB352C"/>
    <w:rsid w:val="00BC6E0A"/>
    <w:rsid w:val="00C10507"/>
    <w:rsid w:val="00C33995"/>
    <w:rsid w:val="00C3701F"/>
    <w:rsid w:val="00C475C8"/>
    <w:rsid w:val="00C6098A"/>
    <w:rsid w:val="00C60A81"/>
    <w:rsid w:val="00C6230D"/>
    <w:rsid w:val="00C638B3"/>
    <w:rsid w:val="00C715F1"/>
    <w:rsid w:val="00C743B1"/>
    <w:rsid w:val="00C8211C"/>
    <w:rsid w:val="00CA06D8"/>
    <w:rsid w:val="00CB741A"/>
    <w:rsid w:val="00CB7AC2"/>
    <w:rsid w:val="00CE5A9A"/>
    <w:rsid w:val="00CE7CED"/>
    <w:rsid w:val="00CF41DE"/>
    <w:rsid w:val="00CF6E83"/>
    <w:rsid w:val="00DA0A5B"/>
    <w:rsid w:val="00DA65CB"/>
    <w:rsid w:val="00DD1B16"/>
    <w:rsid w:val="00DD4F74"/>
    <w:rsid w:val="00DE0C61"/>
    <w:rsid w:val="00DF5D2E"/>
    <w:rsid w:val="00DF6F5D"/>
    <w:rsid w:val="00E15860"/>
    <w:rsid w:val="00E17045"/>
    <w:rsid w:val="00E17BE3"/>
    <w:rsid w:val="00E25244"/>
    <w:rsid w:val="00E252AB"/>
    <w:rsid w:val="00E35F2F"/>
    <w:rsid w:val="00E43CBC"/>
    <w:rsid w:val="00E82065"/>
    <w:rsid w:val="00EB755F"/>
    <w:rsid w:val="00EC2D33"/>
    <w:rsid w:val="00EE14C9"/>
    <w:rsid w:val="00EE1DC2"/>
    <w:rsid w:val="00EF6B7F"/>
    <w:rsid w:val="00F04CC3"/>
    <w:rsid w:val="00F105B3"/>
    <w:rsid w:val="00F27399"/>
    <w:rsid w:val="00F27DCD"/>
    <w:rsid w:val="00F33681"/>
    <w:rsid w:val="00F37C90"/>
    <w:rsid w:val="00F40FA1"/>
    <w:rsid w:val="00F428D6"/>
    <w:rsid w:val="00F451D6"/>
    <w:rsid w:val="00F556E1"/>
    <w:rsid w:val="00F64CA5"/>
    <w:rsid w:val="00F665B4"/>
    <w:rsid w:val="00F71636"/>
    <w:rsid w:val="00F757D3"/>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0F61"/>
  <w15:chartTrackingRefBased/>
  <w15:docId w15:val="{211F99C8-98A8-4A19-88EC-94F3EC3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BC6"/>
    <w:pPr>
      <w:ind w:firstLine="360"/>
      <w:jc w:val="both"/>
    </w:pPr>
  </w:style>
  <w:style w:type="paragraph" w:styleId="Heading1">
    <w:name w:val="heading 1"/>
    <w:basedOn w:val="Normal"/>
    <w:next w:val="Normal"/>
    <w:link w:val="Heading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4FD2"/>
  </w:style>
  <w:style w:type="character" w:customStyle="1" w:styleId="Heading1Char">
    <w:name w:val="Heading 1 Char"/>
    <w:basedOn w:val="DefaultParagraphFont"/>
    <w:link w:val="Heading1"/>
    <w:uiPriority w:val="9"/>
    <w:rsid w:val="004675C9"/>
    <w:rPr>
      <w:rFonts w:asciiTheme="majorHAnsi" w:eastAsia="Times New Roman"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5C9"/>
    <w:pPr>
      <w:outlineLvl w:val="9"/>
    </w:pPr>
  </w:style>
  <w:style w:type="paragraph" w:styleId="TOC1">
    <w:name w:val="toc 1"/>
    <w:basedOn w:val="Normal"/>
    <w:next w:val="Normal"/>
    <w:autoRedefine/>
    <w:uiPriority w:val="39"/>
    <w:unhideWhenUsed/>
    <w:rsid w:val="00E17BE3"/>
    <w:pPr>
      <w:spacing w:after="100"/>
    </w:pPr>
  </w:style>
  <w:style w:type="character" w:styleId="Hyperlink">
    <w:name w:val="Hyperlink"/>
    <w:basedOn w:val="DefaultParagraphFont"/>
    <w:uiPriority w:val="99"/>
    <w:unhideWhenUsed/>
    <w:rsid w:val="00E17BE3"/>
    <w:rPr>
      <w:color w:val="0563C1" w:themeColor="hyperlink"/>
      <w:u w:val="single"/>
    </w:rPr>
  </w:style>
  <w:style w:type="paragraph" w:styleId="Caption">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Paragraph">
    <w:name w:val="List Paragraph"/>
    <w:basedOn w:val="Normal"/>
    <w:uiPriority w:val="34"/>
    <w:qFormat/>
    <w:rsid w:val="00492B59"/>
    <w:pPr>
      <w:ind w:left="720"/>
      <w:contextualSpacing/>
    </w:pPr>
  </w:style>
  <w:style w:type="character" w:styleId="PlaceholderText">
    <w:name w:val="Placeholder Text"/>
    <w:basedOn w:val="DefaultParagraphFont"/>
    <w:uiPriority w:val="99"/>
    <w:semiHidden/>
    <w:rsid w:val="00A3486C"/>
    <w:rPr>
      <w:color w:val="808080"/>
    </w:rPr>
  </w:style>
  <w:style w:type="character" w:customStyle="1" w:styleId="Heading2Char">
    <w:name w:val="Heading 2 Char"/>
    <w:basedOn w:val="DefaultParagraphFont"/>
    <w:link w:val="Heading2"/>
    <w:uiPriority w:val="9"/>
    <w:rsid w:val="00096F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0CED-F44A-40A6-A233-42AA2B39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278</cp:revision>
  <dcterms:created xsi:type="dcterms:W3CDTF">2020-03-07T10:15:00Z</dcterms:created>
  <dcterms:modified xsi:type="dcterms:W3CDTF">2020-03-07T16:33:00Z</dcterms:modified>
</cp:coreProperties>
</file>