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tLeast" w:line="885" w:before="0" w:after="600"/>
        <w:ind w:hanging="0" w:start="0" w:end="0"/>
        <w:jc w:val="start"/>
        <w:rPr>
          <w:b w:val="false"/>
          <w:color w:val="000000"/>
          <w:sz w:val="68"/>
        </w:rPr>
      </w:pPr>
      <w:r>
        <w:rPr>
          <w:b w:val="false"/>
          <w:color w:val="000000"/>
          <w:sz w:val="68"/>
        </w:rPr>
        <w:t>A Journey Guide to Manage AI Governance, Trust, Risk and Security</w:t>
      </w:r>
    </w:p>
    <w:p>
      <w:pPr>
        <w:pStyle w:val="BodyText"/>
        <w:bidi w:val="0"/>
        <w:spacing w:lineRule="atLeast" w:line="330" w:before="0" w:after="180"/>
        <w:ind w:hanging="0" w:start="60" w:end="0"/>
        <w:jc w:val="start"/>
        <w:rPr>
          <w:b/>
          <w:strike w:val="false"/>
          <w:dstrike w:val="false"/>
          <w:color w:val="00007F"/>
          <w:u w:val="none"/>
          <w:effect w:val="none"/>
          <w:shd w:fill="auto" w:val="clear"/>
        </w:rPr>
      </w:pPr>
      <w:r>
        <w:rPr>
          <w:b w:val="false"/>
          <w:color w:val="3E3E3E"/>
          <w:sz w:val="18"/>
        </w:rPr>
      </w:r>
    </w:p>
    <w:p>
      <w:pPr>
        <w:sectPr>
          <w:type w:val="nextPage"/>
          <w:pgSz w:w="11906" w:h="16838"/>
          <w:pgMar w:left="1134" w:right="1134" w:gutter="0" w:header="0" w:top="1134" w:footer="0" w:bottom="1134"/>
          <w:pgNumType w:fmt="decimal"/>
          <w:formProt w:val="false"/>
          <w:textDirection w:val="lrTb"/>
        </w:sectPr>
      </w:pPr>
    </w:p>
    <w:p>
      <w:pPr>
        <w:pStyle w:val="BodyText"/>
        <w:bidi w:val="0"/>
        <w:spacing w:lineRule="atLeast" w:line="435" w:before="360" w:after="360"/>
        <w:ind w:hanging="0" w:start="0" w:end="0"/>
        <w:jc w:val="start"/>
        <w:rPr>
          <w:b w:val="false"/>
          <w:color w:val="3E3E3E"/>
          <w:sz w:val="24"/>
        </w:rPr>
      </w:pPr>
      <w:r>
        <w:rPr>
          <w:b w:val="false"/>
          <w:color w:val="3E3E3E"/>
          <w:sz w:val="24"/>
        </w:rPr>
        <w:t>Successfully managing AI governance, trust, risk and security is the key to realizing value from AI investments. Regardless of where they are on their AI journey, AI leaders can use this guide to take necessary steps for success.</w:t>
      </w:r>
    </w:p>
    <w:p>
      <w:pPr>
        <w:sectPr>
          <w:type w:val="continuous"/>
          <w:pgSz w:w="11906" w:h="16838"/>
          <w:pgMar w:left="1134" w:right="1134" w:gutter="0" w:header="0" w:top="1134" w:footer="0" w:bottom="1134"/>
          <w:formProt w:val="false"/>
          <w:textDirection w:val="lrTb"/>
        </w:sectPr>
      </w:pPr>
    </w:p>
    <w:p>
      <w:pPr>
        <w:pStyle w:val="Heading2"/>
        <w:bidi w:val="0"/>
        <w:spacing w:lineRule="atLeast" w:line="885" w:before="0" w:after="360"/>
        <w:ind w:hanging="0" w:start="0" w:end="0"/>
        <w:jc w:val="start"/>
        <w:rPr>
          <w:b w:val="false"/>
          <w:color w:val="000000"/>
          <w:sz w:val="56"/>
        </w:rPr>
      </w:pPr>
      <w:bookmarkStart w:id="0" w:name="144b3805-89ca-4ff0-bbcc-b28e7ba2e3f1"/>
      <w:bookmarkEnd w:id="0"/>
      <w:r>
        <w:rPr>
          <w:b w:val="false"/>
          <w:color w:val="000000"/>
          <w:sz w:val="56"/>
        </w:rPr>
        <w:t>Strategic Planning Assumptions</w:t>
      </w:r>
    </w:p>
    <w:p>
      <w:pPr>
        <w:pStyle w:val="BodyText"/>
        <w:bidi w:val="0"/>
        <w:spacing w:lineRule="atLeast" w:line="435" w:before="0" w:after="360"/>
        <w:ind w:hanging="0" w:start="0" w:end="0"/>
        <w:jc w:val="start"/>
        <w:rPr>
          <w:sz w:val="24"/>
        </w:rPr>
      </w:pPr>
      <w:r>
        <w:rPr>
          <w:sz w:val="24"/>
        </w:rPr>
        <w:t>By 2027, AI governance will become a requirement of all sovereign AI laws and regulations worldwide.</w:t>
      </w:r>
    </w:p>
    <w:p>
      <w:pPr>
        <w:pStyle w:val="BodyText"/>
        <w:bidi w:val="0"/>
        <w:spacing w:lineRule="atLeast" w:line="435" w:before="0" w:after="360"/>
        <w:ind w:hanging="0" w:start="0" w:end="0"/>
        <w:jc w:val="start"/>
        <w:rPr>
          <w:sz w:val="24"/>
        </w:rPr>
      </w:pPr>
      <w:r>
        <w:rPr>
          <w:sz w:val="24"/>
        </w:rPr>
        <w:t>Through 2027, most AI projects will fail to meet expectations due to a failure to focus on data governance.</w:t>
      </w:r>
    </w:p>
    <w:p>
      <w:pPr>
        <w:pStyle w:val="BodyText"/>
        <w:bidi w:val="0"/>
        <w:spacing w:lineRule="atLeast" w:line="435" w:before="0" w:after="360"/>
        <w:ind w:hanging="0" w:start="0" w:end="0"/>
        <w:jc w:val="start"/>
        <w:rPr>
          <w:sz w:val="24"/>
        </w:rPr>
      </w:pPr>
      <w:r>
        <w:rPr>
          <w:sz w:val="24"/>
        </w:rPr>
        <w:t>By 2027, AI governance and responsible AI capabilities will be part of 75% of AI platforms, making them the main area of competition.</w:t>
      </w:r>
    </w:p>
    <w:p>
      <w:pPr>
        <w:pStyle w:val="Heading2"/>
        <w:bidi w:val="0"/>
        <w:spacing w:lineRule="atLeast" w:line="885" w:before="0" w:after="360"/>
        <w:ind w:hanging="0" w:start="0" w:end="0"/>
        <w:jc w:val="start"/>
        <w:rPr>
          <w:b w:val="false"/>
          <w:color w:val="000000"/>
          <w:sz w:val="56"/>
        </w:rPr>
      </w:pPr>
      <w:bookmarkStart w:id="1" w:name="a6704bf4-39c5-4a5b-baa5-edfbd9406640"/>
      <w:bookmarkEnd w:id="1"/>
      <w:r>
        <w:rPr>
          <w:b w:val="false"/>
          <w:color w:val="000000"/>
          <w:sz w:val="56"/>
        </w:rPr>
        <w:t>Analysis</w:t>
      </w:r>
    </w:p>
    <w:p>
      <w:pPr>
        <w:pStyle w:val="BodyText"/>
        <w:bidi w:val="0"/>
        <w:spacing w:lineRule="atLeast" w:line="435" w:before="0" w:after="0"/>
        <w:ind w:hanging="0" w:start="0" w:end="0"/>
        <w:jc w:val="start"/>
        <w:rPr>
          <w:i/>
          <w:sz w:val="24"/>
        </w:rPr>
      </w:pPr>
      <w:r>
        <w:rPr>
          <w:i/>
          <w:sz w:val="24"/>
        </w:rPr>
        <w:t>Gartner’s Journey Guides for data and analytics (D&amp;A) leaders offer step-by-step insights and recommendations to help them address challenges facing them. These guides adapt to varying factors, such as tenure, influence and organizations’ D&amp;A culture. To reflect latest guidance, tools and recommended content, these guides are refreshed every quarter. Revisit regularly to stay aligned with evolving trends and opportunities.</w:t>
      </w:r>
    </w:p>
    <w:p>
      <w:pPr>
        <w:pStyle w:val="BodyText"/>
        <w:bidi w:val="0"/>
        <w:spacing w:lineRule="atLeast" w:line="435" w:before="0" w:after="0"/>
        <w:ind w:hanging="0" w:start="0" w:end="360"/>
        <w:jc w:val="start"/>
        <w:rPr/>
      </w:pPr>
      <w:r>
        <w:rPr>
          <w:rStyle w:val="Strong"/>
          <w:b/>
          <w:i w:val="false"/>
          <w:caps w:val="false"/>
          <w:smallCaps w:val="false"/>
          <w:sz w:val="24"/>
        </w:rPr>
        <w:t>Updates in this release:</w:t>
      </w:r>
    </w:p>
    <w:p>
      <w:pPr>
        <w:pStyle w:val="BodyText"/>
        <w:numPr>
          <w:ilvl w:val="0"/>
          <w:numId w:val="1"/>
        </w:numPr>
        <w:pBdr/>
        <w:tabs>
          <w:tab w:val="clear" w:pos="709"/>
          <w:tab w:val="left" w:pos="0" w:leader="none"/>
        </w:tabs>
        <w:bidi w:val="0"/>
        <w:spacing w:lineRule="atLeast" w:line="435" w:before="0" w:after="0"/>
        <w:ind w:hanging="283" w:start="0" w:end="0"/>
        <w:jc w:val="start"/>
        <w:rPr>
          <w:i/>
          <w:sz w:val="24"/>
        </w:rPr>
      </w:pPr>
      <w:r>
        <w:rPr>
          <w:i/>
          <w:sz w:val="24"/>
        </w:rPr>
        <w:t>Newer recommended readings across steps</w:t>
      </w:r>
    </w:p>
    <w:p>
      <w:pPr>
        <w:pStyle w:val="BodyText"/>
        <w:bidi w:val="0"/>
        <w:spacing w:lineRule="atLeast" w:line="435" w:before="0" w:after="0"/>
        <w:ind w:hanging="0" w:start="0" w:end="360"/>
        <w:jc w:val="start"/>
        <w:rPr/>
      </w:pPr>
      <w:r>
        <w:rPr>
          <w:rStyle w:val="Strong"/>
          <w:b/>
          <w:i w:val="false"/>
          <w:caps w:val="false"/>
          <w:smallCaps w:val="false"/>
          <w:sz w:val="24"/>
        </w:rPr>
        <w:t>Note:</w:t>
      </w:r>
      <w:r>
        <w:rPr>
          <w:i/>
          <w:sz w:val="24"/>
        </w:rPr>
        <w:t> Some recommended content may not be available as part of your current Gartner subscription.</w:t>
      </w:r>
    </w:p>
    <w:p>
      <w:pPr>
        <w:pStyle w:val="BodyText"/>
        <w:bidi w:val="0"/>
        <w:spacing w:lineRule="atLeast" w:line="435" w:before="0" w:after="360"/>
        <w:ind w:hanging="0" w:start="75" w:end="0"/>
        <w:jc w:val="start"/>
        <w:rPr>
          <w:sz w:val="24"/>
        </w:rPr>
      </w:pPr>
      <w:r>
        <w:rPr>
          <w:sz w:val="24"/>
        </w:rPr>
        <w:t>AI governance is a significant challenge for both AI leaders and D&amp;A leaders due to its rapidly evolving nature and potential to amplify human biases. Beyond governance, D&amp;A leaders must tackle critical risks, such as AI’s lack of transparency, privacy concerns, security vulnerabilities, environmental sustainability and the unpredictability of AI-related operational costs.</w:t>
      </w:r>
      <w:r>
        <w:rPr>
          <w:sz w:val="17"/>
        </w:rPr>
        <w:t>1</w:t>
      </w:r>
      <w:r>
        <w:rPr>
          <w:sz w:val="24"/>
        </w:rPr>
        <w:t> Addressing these multifaceted risks is essential for maximizing AI benefits while minimizing potential downsides. Effective AI governance, trust and risk management are thus crucial for realizing value from AI investments.</w:t>
      </w:r>
    </w:p>
    <w:p>
      <w:pPr>
        <w:pStyle w:val="BodyText"/>
        <w:bidi w:val="0"/>
        <w:spacing w:lineRule="atLeast" w:line="435" w:before="0" w:after="360"/>
        <w:ind w:hanging="0" w:start="0" w:end="0"/>
        <w:jc w:val="start"/>
        <w:rPr>
          <w:sz w:val="24"/>
        </w:rPr>
      </w:pPr>
      <w:r>
        <w:rPr>
          <w:sz w:val="24"/>
        </w:rPr>
        <w:t>A successful governance framework balances enforcement, enablement and engagement in governance. This journey guide outlines the critical steps on the AI governance journey: gaining foresight, building the value case, executing strategies and scaling to maximize value.</w:t>
      </w:r>
    </w:p>
    <w:p>
      <w:pPr>
        <w:pStyle w:val="BodyText"/>
        <w:bidi w:val="0"/>
        <w:spacing w:lineRule="atLeast" w:line="435" w:before="0" w:after="360"/>
        <w:ind w:hanging="0" w:start="0" w:end="0"/>
        <w:jc w:val="start"/>
        <w:rPr>
          <w:sz w:val="24"/>
        </w:rPr>
      </w:pPr>
      <w:r>
        <w:rPr>
          <w:sz w:val="24"/>
        </w:rPr>
        <w:t>The steps outlined in Table 1 ensure that your organization is on the right path to transparent, accountable, compliant, secure, sustainable and ethical AI deployment, aligning with societal demands while facilitating progress of AI use cases. Use the links in the sections below to navigate the questions on the AI governance journey path.</w:t>
      </w:r>
    </w:p>
    <w:p>
      <w:pPr>
        <w:pStyle w:val="BodyText"/>
        <w:bidi w:val="0"/>
        <w:spacing w:lineRule="atLeast" w:line="435" w:before="0" w:after="360"/>
        <w:ind w:hanging="0" w:start="0" w:end="0"/>
        <w:jc w:val="start"/>
        <w:rPr>
          <w:sz w:val="24"/>
        </w:rPr>
      </w:pPr>
      <w:r>
        <w:rPr>
          <w:sz w:val="24"/>
        </w:rPr>
        <w:t>While this journey is presented as a sequential set of steps, it is iterative. You can begin navigating this journey guide from any step based on your organization’s current state and future ambition.</w:t>
      </w:r>
    </w:p>
    <w:p>
      <w:pPr>
        <w:pStyle w:val="Heading3"/>
        <w:pBdr/>
        <w:bidi w:val="0"/>
        <w:spacing w:lineRule="atLeast" w:line="360" w:before="0" w:after="0"/>
        <w:ind w:hanging="0" w:start="0" w:end="0"/>
        <w:jc w:val="start"/>
        <w:rPr>
          <w:b/>
          <w:i w:val="false"/>
          <w:caps w:val="false"/>
          <w:smallCaps w:val="false"/>
          <w:color w:val="000000"/>
          <w:sz w:val="24"/>
          <w:shd w:fill="EFF2F4" w:val="clear"/>
        </w:rPr>
      </w:pPr>
      <w:bookmarkStart w:id="2" w:name="id.541m2fhqlxe3"/>
      <w:bookmarkEnd w:id="2"/>
      <w:r>
        <w:rPr>
          <w:b/>
          <w:i w:val="false"/>
          <w:caps w:val="false"/>
          <w:smallCaps w:val="false"/>
          <w:color w:val="000000"/>
          <w:sz w:val="24"/>
          <w:shd w:fill="EFF2F4" w:val="clear"/>
        </w:rPr>
        <w:t>Table 1. AI Governance, Trust, Risk and Security Management Journey Steps</w:t>
      </w:r>
    </w:p>
    <w:tbl>
      <w:tblPr>
        <w:tblW w:w="9638" w:type="dxa"/>
        <w:jc w:val="start"/>
        <w:tblInd w:w="0" w:type="dxa"/>
        <w:tblLayout w:type="fixed"/>
        <w:tblCellMar>
          <w:top w:w="0" w:type="dxa"/>
          <w:start w:w="0" w:type="dxa"/>
          <w:bottom w:w="240" w:type="dxa"/>
          <w:end w:w="0" w:type="dxa"/>
        </w:tblCellMar>
      </w:tblPr>
      <w:tblGrid>
        <w:gridCol w:w="2128"/>
        <w:gridCol w:w="2954"/>
        <w:gridCol w:w="2217"/>
        <w:gridCol w:w="2339"/>
      </w:tblGrid>
      <w:tr>
        <w:trPr/>
        <w:tc>
          <w:tcPr>
            <w:tcW w:w="2128" w:type="dxa"/>
            <w:tcBorders>
              <w:bottom w:val="single" w:sz="2" w:space="0" w:color="E0E0E0"/>
            </w:tcBorders>
            <w:shd w:fill="002856" w:val="clear"/>
            <w:vAlign w:val="center"/>
          </w:tcPr>
          <w:p>
            <w:pPr>
              <w:pStyle w:val="TableContents"/>
              <w:bidi w:val="0"/>
              <w:spacing w:lineRule="atLeast" w:line="435" w:before="0" w:after="0"/>
              <w:ind w:hanging="0" w:start="0" w:end="0"/>
              <w:jc w:val="start"/>
              <w:rPr>
                <w:rFonts w:ascii="Graphik;Helvetica Neue;Helvetica;Arial;sans-serif" w:hAnsi="Graphik;Helvetica Neue;Helvetica;Arial;sans-serif"/>
                <w:b w:val="false"/>
                <w:color w:val="FFFFFF"/>
                <w:sz w:val="24"/>
              </w:rPr>
            </w:pPr>
            <w:r>
              <w:rPr>
                <w:rFonts w:ascii="Graphik;Helvetica Neue;Helvetica;Arial;sans-serif" w:hAnsi="Graphik;Helvetica Neue;Helvetica;Arial;sans-serif"/>
                <w:b w:val="false"/>
                <w:color w:val="FFFFFF"/>
                <w:sz w:val="24"/>
              </w:rPr>
              <w:t>Step 1:</w:t>
            </w:r>
          </w:p>
          <w:p>
            <w:pPr>
              <w:pStyle w:val="TableContents"/>
              <w:bidi w:val="0"/>
              <w:spacing w:lineRule="atLeast" w:line="435" w:before="0" w:after="0"/>
              <w:ind w:hanging="0" w:start="0" w:end="0"/>
              <w:jc w:val="start"/>
              <w:rPr>
                <w:rFonts w:ascii="Graphik;Helvetica Neue;Helvetica;Arial;sans-serif" w:hAnsi="Graphik;Helvetica Neue;Helvetica;Arial;sans-serif" w:eastAsia="Graphik;Helvetica Neue;Helvetica;Arial;sans-serif" w:cs="Graphik;Helvetica Neue;Helvetica;Arial;sans-serif"/>
                <w:b w:val="false"/>
                <w:bCs w:val="false"/>
                <w:color w:val="000000"/>
                <w14:textFill>
                  <w14:solidFill>
                    <w14:srgbClr w14:val="000000">
                      <w14:alpha w14:val="13000"/>
                    </w14:srgbClr>
                  </w14:solidFill>
                </w14:textFill>
              </w:rPr>
            </w:pPr>
            <w:r>
              <w:rPr>
                <w:rFonts w:ascii="Graphik;Helvetica Neue;Helvetica;Arial;sans-serif" w:hAnsi="Graphik;Helvetica Neue;Helvetica;Arial;sans-serif"/>
                <w:b w:val="false"/>
                <w:color w:val="FFFFFF"/>
                <w:sz w:val="24"/>
              </w:rPr>
              <w:t>Gain Foresight and Get Grounded</w:t>
            </w:r>
          </w:p>
        </w:tc>
        <w:tc>
          <w:tcPr>
            <w:tcW w:w="2954" w:type="dxa"/>
            <w:tcBorders>
              <w:bottom w:val="single" w:sz="2" w:space="0" w:color="E0E0E0"/>
            </w:tcBorders>
            <w:shd w:fill="002856" w:val="clear"/>
            <w:vAlign w:val="center"/>
          </w:tcPr>
          <w:p>
            <w:pPr>
              <w:pStyle w:val="TableContents"/>
              <w:bidi w:val="0"/>
              <w:spacing w:lineRule="atLeast" w:line="435" w:before="0" w:after="0"/>
              <w:ind w:hanging="0" w:start="0" w:end="0"/>
              <w:jc w:val="start"/>
              <w:rPr>
                <w:rFonts w:ascii="Graphik;Helvetica Neue;Helvetica;Arial;sans-serif" w:hAnsi="Graphik;Helvetica Neue;Helvetica;Arial;sans-serif"/>
                <w:b w:val="false"/>
                <w:color w:val="FFFFFF"/>
                <w:sz w:val="24"/>
              </w:rPr>
            </w:pPr>
            <w:r>
              <w:rPr>
                <w:rFonts w:ascii="Graphik;Helvetica Neue;Helvetica;Arial;sans-serif" w:hAnsi="Graphik;Helvetica Neue;Helvetica;Arial;sans-serif"/>
                <w:b w:val="false"/>
                <w:color w:val="FFFFFF"/>
                <w:sz w:val="24"/>
              </w:rPr>
              <w:t>Step 2:</w:t>
            </w:r>
          </w:p>
          <w:p>
            <w:pPr>
              <w:pStyle w:val="TableContents"/>
              <w:bidi w:val="0"/>
              <w:spacing w:lineRule="atLeast" w:line="435" w:before="0" w:after="0"/>
              <w:ind w:hanging="0" w:start="0" w:end="0"/>
              <w:jc w:val="start"/>
              <w:rPr>
                <w:rFonts w:ascii="Graphik;Helvetica Neue;Helvetica;Arial;sans-serif" w:hAnsi="Graphik;Helvetica Neue;Helvetica;Arial;sans-serif" w:eastAsia="Graphik;Helvetica Neue;Helvetica;Arial;sans-serif" w:cs="Graphik;Helvetica Neue;Helvetica;Arial;sans-serif"/>
                <w:b w:val="false"/>
                <w:bCs w:val="false"/>
                <w:color w:val="000000"/>
                <w14:textFill>
                  <w14:solidFill>
                    <w14:srgbClr w14:val="000000">
                      <w14:alpha w14:val="13000"/>
                    </w14:srgbClr>
                  </w14:solidFill>
                </w14:textFill>
              </w:rPr>
            </w:pPr>
            <w:r>
              <w:rPr>
                <w:rFonts w:ascii="Graphik;Helvetica Neue;Helvetica;Arial;sans-serif" w:hAnsi="Graphik;Helvetica Neue;Helvetica;Arial;sans-serif"/>
                <w:b w:val="false"/>
                <w:color w:val="FFFFFF"/>
                <w:sz w:val="24"/>
              </w:rPr>
              <w:t>Build the Value Case and Gain Executive Buy-In</w:t>
            </w:r>
          </w:p>
        </w:tc>
        <w:tc>
          <w:tcPr>
            <w:tcW w:w="2217" w:type="dxa"/>
            <w:tcBorders>
              <w:bottom w:val="single" w:sz="2" w:space="0" w:color="E0E0E0"/>
            </w:tcBorders>
            <w:shd w:fill="002856" w:val="clear"/>
            <w:vAlign w:val="center"/>
          </w:tcPr>
          <w:p>
            <w:pPr>
              <w:pStyle w:val="TableContents"/>
              <w:bidi w:val="0"/>
              <w:spacing w:lineRule="atLeast" w:line="435" w:before="0" w:after="0"/>
              <w:ind w:hanging="0" w:start="0" w:end="0"/>
              <w:jc w:val="start"/>
              <w:rPr>
                <w:rFonts w:ascii="Graphik;Helvetica Neue;Helvetica;Arial;sans-serif" w:hAnsi="Graphik;Helvetica Neue;Helvetica;Arial;sans-serif"/>
                <w:b w:val="false"/>
                <w:color w:val="FFFFFF"/>
                <w:sz w:val="24"/>
              </w:rPr>
            </w:pPr>
            <w:r>
              <w:rPr>
                <w:rFonts w:ascii="Graphik;Helvetica Neue;Helvetica;Arial;sans-serif" w:hAnsi="Graphik;Helvetica Neue;Helvetica;Arial;sans-serif"/>
                <w:b w:val="false"/>
                <w:color w:val="FFFFFF"/>
                <w:sz w:val="24"/>
              </w:rPr>
              <w:t>Step 3:</w:t>
            </w:r>
          </w:p>
          <w:p>
            <w:pPr>
              <w:pStyle w:val="TableContents"/>
              <w:bidi w:val="0"/>
              <w:spacing w:lineRule="atLeast" w:line="435" w:before="0" w:after="0"/>
              <w:ind w:hanging="0" w:start="0" w:end="0"/>
              <w:jc w:val="start"/>
              <w:rPr>
                <w:rFonts w:ascii="Graphik;Helvetica Neue;Helvetica;Arial;sans-serif" w:hAnsi="Graphik;Helvetica Neue;Helvetica;Arial;sans-serif" w:eastAsia="Graphik;Helvetica Neue;Helvetica;Arial;sans-serif" w:cs="Graphik;Helvetica Neue;Helvetica;Arial;sans-serif"/>
                <w:b w:val="false"/>
                <w:bCs w:val="false"/>
                <w:color w:val="000000"/>
                <w14:textFill>
                  <w14:solidFill>
                    <w14:srgbClr w14:val="000000">
                      <w14:alpha w14:val="13000"/>
                    </w14:srgbClr>
                  </w14:solidFill>
                </w14:textFill>
              </w:rPr>
            </w:pPr>
            <w:r>
              <w:rPr>
                <w:rFonts w:ascii="Graphik;Helvetica Neue;Helvetica;Arial;sans-serif" w:hAnsi="Graphik;Helvetica Neue;Helvetica;Arial;sans-serif"/>
                <w:b w:val="false"/>
                <w:color w:val="FFFFFF"/>
                <w:sz w:val="24"/>
              </w:rPr>
              <w:t>Execute and Implement</w:t>
            </w:r>
          </w:p>
        </w:tc>
        <w:tc>
          <w:tcPr>
            <w:tcW w:w="2339" w:type="dxa"/>
            <w:tcBorders>
              <w:bottom w:val="single" w:sz="2" w:space="0" w:color="E0E0E0"/>
            </w:tcBorders>
            <w:shd w:fill="002856" w:val="clear"/>
            <w:vAlign w:val="center"/>
          </w:tcPr>
          <w:p>
            <w:pPr>
              <w:pStyle w:val="TableContents"/>
              <w:bidi w:val="0"/>
              <w:spacing w:lineRule="atLeast" w:line="435" w:before="0" w:after="0"/>
              <w:ind w:hanging="0" w:start="0" w:end="0"/>
              <w:jc w:val="start"/>
              <w:rPr>
                <w:rFonts w:ascii="Graphik;Helvetica Neue;Helvetica;Arial;sans-serif" w:hAnsi="Graphik;Helvetica Neue;Helvetica;Arial;sans-serif"/>
                <w:b w:val="false"/>
                <w:color w:val="FFFFFF"/>
                <w:sz w:val="24"/>
              </w:rPr>
            </w:pPr>
            <w:r>
              <w:rPr>
                <w:rFonts w:ascii="Graphik;Helvetica Neue;Helvetica;Arial;sans-serif" w:hAnsi="Graphik;Helvetica Neue;Helvetica;Arial;sans-serif"/>
                <w:b w:val="false"/>
                <w:color w:val="FFFFFF"/>
                <w:sz w:val="24"/>
              </w:rPr>
              <w:t>Step 4:</w:t>
            </w:r>
          </w:p>
          <w:p>
            <w:pPr>
              <w:pStyle w:val="TableContents"/>
              <w:bidi w:val="0"/>
              <w:spacing w:lineRule="atLeast" w:line="435" w:before="0" w:after="0"/>
              <w:ind w:hanging="0" w:start="0" w:end="0"/>
              <w:jc w:val="start"/>
              <w:rPr>
                <w:rFonts w:ascii="Graphik;Helvetica Neue;Helvetica;Arial;sans-serif" w:hAnsi="Graphik;Helvetica Neue;Helvetica;Arial;sans-serif" w:eastAsia="Graphik;Helvetica Neue;Helvetica;Arial;sans-serif" w:cs="Graphik;Helvetica Neue;Helvetica;Arial;sans-serif"/>
                <w:b w:val="false"/>
                <w:bCs w:val="false"/>
                <w:color w:val="000000"/>
                <w14:textFill>
                  <w14:solidFill>
                    <w14:srgbClr w14:val="000000">
                      <w14:alpha w14:val="13000"/>
                    </w14:srgbClr>
                  </w14:solidFill>
                </w14:textFill>
              </w:rPr>
            </w:pPr>
            <w:r>
              <w:rPr>
                <w:rFonts w:ascii="Graphik;Helvetica Neue;Helvetica;Arial;sans-serif" w:hAnsi="Graphik;Helvetica Neue;Helvetica;Arial;sans-serif"/>
                <w:b w:val="false"/>
                <w:color w:val="FFFFFF"/>
                <w:sz w:val="24"/>
              </w:rPr>
              <w:t>Scale Up and Manage Change</w:t>
            </w:r>
          </w:p>
        </w:tc>
      </w:tr>
      <w:tr>
        <w:trPr/>
        <w:tc>
          <w:tcPr>
            <w:tcW w:w="2128" w:type="dxa"/>
            <w:tcBorders>
              <w:bottom w:val="single" w:sz="2" w:space="0" w:color="E0E0E0"/>
            </w:tcBorders>
            <w:vAlign w:val="center"/>
          </w:tcPr>
          <w:p>
            <w:pPr>
              <w:pStyle w:val="TableContents"/>
              <w:bidi w:val="0"/>
              <w:spacing w:lineRule="atLeast" w:line="435" w:before="0" w:after="0"/>
              <w:ind w:hanging="0" w:start="0" w:end="0"/>
              <w:jc w:val="start"/>
              <w:rPr>
                <w:rFonts w:ascii="Graphik;Helvetica Neue;Helvetica;Arial;sans-serif" w:hAnsi="Graphik;Helvetica Neue;Helvetica;Arial;sans-serif" w:eastAsia="Graphik;Helvetica Neue;Helvetica;Arial;sans-serif" w:cs="Graphik;Helvetica Neue;Helvetica;Arial;sans-serif"/>
                <w:b w:val="false"/>
                <w:bCs w:val="false"/>
                <w:color w:val="000000"/>
                <w14:textFill>
                  <w14:solidFill>
                    <w14:srgbClr w14:val="000000">
                      <w14:alpha w14:val="13000"/>
                    </w14:srgbClr>
                  </w14:solidFill>
                </w14:textFill>
              </w:rPr>
            </w:pPr>
            <w:r>
              <w:fldChar w:fldCharType="begin"/>
            </w:r>
            <w:r>
              <w:rPr>
                <w:rStyle w:val="Hyperlink"/>
                <w:dstrike w:val="false"/>
                <w:strike w:val="false"/>
                <w:sz w:val="24"/>
                <w:u w:val="none"/>
                <w:b/>
                <w:effect w:val="none"/>
                <w:rFonts w:ascii="Graphik;Helvetica Neue;Helvetica;Arial;sans-serif" w:hAnsi="Graphik;Helvetica Neue;Helvetica;Arial;sans-serif"/>
                <w:color w:val="00007F"/>
              </w:rPr>
              <w:instrText xml:space="preserve"> HYPERLINK "https://www.gartner.com/doc/reprints?id=1-2JOPNJW9&amp;ct=241212&amp;st=sb" \l "kix.viy5g2pwln1"</w:instrText>
            </w:r>
            <w:r>
              <w:rPr>
                <w:rStyle w:val="Hyperlink"/>
                <w:dstrike w:val="false"/>
                <w:strike w:val="false"/>
                <w:sz w:val="24"/>
                <w:u w:val="none"/>
                <w:b/>
                <w:effect w:val="none"/>
                <w:rFonts w:ascii="Graphik;Helvetica Neue;Helvetica;Arial;sans-serif" w:hAnsi="Graphik;Helvetica Neue;Helvetica;Arial;sans-serif"/>
                <w:color w:val="00007F"/>
              </w:rPr>
              <w:fldChar w:fldCharType="separate"/>
            </w:r>
            <w:r>
              <w:rPr>
                <w:rStyle w:val="Hyperlink"/>
                <w:rFonts w:ascii="Graphik;Helvetica Neue;Helvetica;Arial;sans-serif" w:hAnsi="Graphik;Helvetica Neue;Helvetica;Arial;sans-serif"/>
                <w:b/>
                <w:strike w:val="false"/>
                <w:dstrike w:val="false"/>
                <w:color w:val="00007F"/>
                <w:sz w:val="24"/>
                <w:u w:val="none"/>
                <w:effect w:val="none"/>
              </w:rPr>
              <w:t>What is required to manage AI governance, trust, risk and security?</w:t>
            </w:r>
            <w:r>
              <w:rPr>
                <w:rStyle w:val="Hyperlink"/>
                <w:dstrike w:val="false"/>
                <w:strike w:val="false"/>
                <w:sz w:val="24"/>
                <w:u w:val="none"/>
                <w:b/>
                <w:effect w:val="none"/>
                <w:rFonts w:ascii="Graphik;Helvetica Neue;Helvetica;Arial;sans-serif" w:hAnsi="Graphik;Helvetica Neue;Helvetica;Arial;sans-serif"/>
                <w:color w:val="00007F"/>
              </w:rPr>
              <w:fldChar w:fldCharType="end"/>
            </w:r>
          </w:p>
        </w:tc>
        <w:tc>
          <w:tcPr>
            <w:tcW w:w="2954" w:type="dxa"/>
            <w:tcBorders>
              <w:bottom w:val="single" w:sz="2" w:space="0" w:color="E0E0E0"/>
            </w:tcBorders>
            <w:vAlign w:val="center"/>
          </w:tcPr>
          <w:p>
            <w:pPr>
              <w:pStyle w:val="TableContents"/>
              <w:bidi w:val="0"/>
              <w:spacing w:lineRule="atLeast" w:line="435" w:before="0" w:after="0"/>
              <w:ind w:hanging="0" w:start="0" w:end="0"/>
              <w:jc w:val="start"/>
              <w:rPr>
                <w:rFonts w:ascii="Graphik;Helvetica Neue;Helvetica;Arial;sans-serif" w:hAnsi="Graphik;Helvetica Neue;Helvetica;Arial;sans-serif" w:eastAsia="Graphik;Helvetica Neue;Helvetica;Arial;sans-serif" w:cs="Graphik;Helvetica Neue;Helvetica;Arial;sans-serif"/>
                <w:b w:val="false"/>
                <w:bCs w:val="false"/>
                <w:color w:val="000000"/>
                <w14:textFill>
                  <w14:solidFill>
                    <w14:srgbClr w14:val="000000">
                      <w14:alpha w14:val="13000"/>
                    </w14:srgbClr>
                  </w14:solidFill>
                </w14:textFill>
              </w:rPr>
            </w:pPr>
            <w:r>
              <w:fldChar w:fldCharType="begin"/>
            </w:r>
            <w:r>
              <w:rPr>
                <w:rStyle w:val="Hyperlink"/>
                <w:dstrike w:val="false"/>
                <w:strike w:val="false"/>
                <w:sz w:val="24"/>
                <w:u w:val="none"/>
                <w:b/>
                <w:effect w:val="none"/>
                <w:rFonts w:ascii="Graphik;Helvetica Neue;Helvetica;Arial;sans-serif" w:hAnsi="Graphik;Helvetica Neue;Helvetica;Arial;sans-serif"/>
                <w:color w:val="00007F"/>
              </w:rPr>
              <w:instrText xml:space="preserve"> HYPERLINK "https://www.gartner.com/doc/reprints?id=1-2JOPNJW9&amp;ct=241212&amp;st=sb" \l "kix.kbek86kisgld"</w:instrText>
            </w:r>
            <w:r>
              <w:rPr>
                <w:rStyle w:val="Hyperlink"/>
                <w:dstrike w:val="false"/>
                <w:strike w:val="false"/>
                <w:sz w:val="24"/>
                <w:u w:val="none"/>
                <w:b/>
                <w:effect w:val="none"/>
                <w:rFonts w:ascii="Graphik;Helvetica Neue;Helvetica;Arial;sans-serif" w:hAnsi="Graphik;Helvetica Neue;Helvetica;Arial;sans-serif"/>
                <w:color w:val="00007F"/>
              </w:rPr>
              <w:fldChar w:fldCharType="separate"/>
            </w:r>
            <w:r>
              <w:rPr>
                <w:rStyle w:val="Hyperlink"/>
                <w:rFonts w:ascii="Graphik;Helvetica Neue;Helvetica;Arial;sans-serif" w:hAnsi="Graphik;Helvetica Neue;Helvetica;Arial;sans-serif"/>
                <w:b/>
                <w:strike w:val="false"/>
                <w:dstrike w:val="false"/>
                <w:color w:val="00007F"/>
                <w:sz w:val="24"/>
                <w:u w:val="none"/>
                <w:effect w:val="none"/>
              </w:rPr>
              <w:t>How do I discuss AI governance, risk, trust and security-related regulatory imperatives with the executive board?</w:t>
            </w:r>
            <w:r>
              <w:rPr>
                <w:rStyle w:val="Hyperlink"/>
                <w:dstrike w:val="false"/>
                <w:strike w:val="false"/>
                <w:sz w:val="24"/>
                <w:u w:val="none"/>
                <w:b/>
                <w:effect w:val="none"/>
                <w:rFonts w:ascii="Graphik;Helvetica Neue;Helvetica;Arial;sans-serif" w:hAnsi="Graphik;Helvetica Neue;Helvetica;Arial;sans-serif"/>
                <w:color w:val="00007F"/>
              </w:rPr>
              <w:fldChar w:fldCharType="end"/>
            </w:r>
          </w:p>
        </w:tc>
        <w:tc>
          <w:tcPr>
            <w:tcW w:w="2217" w:type="dxa"/>
            <w:tcBorders>
              <w:bottom w:val="single" w:sz="2" w:space="0" w:color="E0E0E0"/>
            </w:tcBorders>
            <w:vAlign w:val="center"/>
          </w:tcPr>
          <w:p>
            <w:pPr>
              <w:pStyle w:val="TableContents"/>
              <w:bidi w:val="0"/>
              <w:spacing w:lineRule="atLeast" w:line="435" w:before="0" w:after="0"/>
              <w:ind w:hanging="0" w:start="0" w:end="0"/>
              <w:jc w:val="start"/>
              <w:rPr>
                <w:rFonts w:ascii="Graphik;Helvetica Neue;Helvetica;Arial;sans-serif" w:hAnsi="Graphik;Helvetica Neue;Helvetica;Arial;sans-serif" w:eastAsia="Graphik;Helvetica Neue;Helvetica;Arial;sans-serif" w:cs="Graphik;Helvetica Neue;Helvetica;Arial;sans-serif"/>
                <w:b w:val="false"/>
                <w:bCs w:val="false"/>
                <w:color w:val="000000"/>
                <w14:textFill>
                  <w14:solidFill>
                    <w14:srgbClr w14:val="000000">
                      <w14:alpha w14:val="13000"/>
                    </w14:srgbClr>
                  </w14:solidFill>
                </w14:textFill>
              </w:rPr>
            </w:pPr>
            <w:r>
              <w:fldChar w:fldCharType="begin"/>
            </w:r>
            <w:r>
              <w:rPr>
                <w:rStyle w:val="Hyperlink"/>
                <w:dstrike w:val="false"/>
                <w:strike w:val="false"/>
                <w:sz w:val="24"/>
                <w:u w:val="none"/>
                <w:b/>
                <w:effect w:val="none"/>
                <w:rFonts w:ascii="Graphik;Helvetica Neue;Helvetica;Arial;sans-serif" w:hAnsi="Graphik;Helvetica Neue;Helvetica;Arial;sans-serif"/>
                <w:color w:val="00007F"/>
              </w:rPr>
              <w:instrText xml:space="preserve"> HYPERLINK "https://www.gartner.com/doc/reprints?id=1-2JOPNJW9&amp;ct=241212&amp;st=sb" \l "id.3sro0ym08t5e"</w:instrText>
            </w:r>
            <w:r>
              <w:rPr>
                <w:rStyle w:val="Hyperlink"/>
                <w:dstrike w:val="false"/>
                <w:strike w:val="false"/>
                <w:sz w:val="24"/>
                <w:u w:val="none"/>
                <w:b/>
                <w:effect w:val="none"/>
                <w:rFonts w:ascii="Graphik;Helvetica Neue;Helvetica;Arial;sans-serif" w:hAnsi="Graphik;Helvetica Neue;Helvetica;Arial;sans-serif"/>
                <w:color w:val="00007F"/>
              </w:rPr>
              <w:fldChar w:fldCharType="separate"/>
            </w:r>
            <w:r>
              <w:rPr>
                <w:rStyle w:val="Hyperlink"/>
                <w:rFonts w:ascii="Graphik;Helvetica Neue;Helvetica;Arial;sans-serif" w:hAnsi="Graphik;Helvetica Neue;Helvetica;Arial;sans-serif"/>
                <w:b/>
                <w:strike w:val="false"/>
                <w:dstrike w:val="false"/>
                <w:color w:val="00007F"/>
                <w:sz w:val="24"/>
                <w:u w:val="none"/>
                <w:effect w:val="none"/>
              </w:rPr>
              <w:t>How do I design an effective AI governance operating model?</w:t>
            </w:r>
            <w:r>
              <w:rPr>
                <w:rStyle w:val="Hyperlink"/>
                <w:dstrike w:val="false"/>
                <w:strike w:val="false"/>
                <w:sz w:val="24"/>
                <w:u w:val="none"/>
                <w:b/>
                <w:effect w:val="none"/>
                <w:rFonts w:ascii="Graphik;Helvetica Neue;Helvetica;Arial;sans-serif" w:hAnsi="Graphik;Helvetica Neue;Helvetica;Arial;sans-serif"/>
                <w:color w:val="00007F"/>
              </w:rPr>
              <w:fldChar w:fldCharType="end"/>
            </w:r>
          </w:p>
        </w:tc>
        <w:tc>
          <w:tcPr>
            <w:tcW w:w="2339" w:type="dxa"/>
            <w:tcBorders>
              <w:bottom w:val="single" w:sz="2" w:space="0" w:color="E0E0E0"/>
            </w:tcBorders>
            <w:vAlign w:val="center"/>
          </w:tcPr>
          <w:p>
            <w:pPr>
              <w:pStyle w:val="TableContents"/>
              <w:bidi w:val="0"/>
              <w:spacing w:lineRule="atLeast" w:line="435" w:before="0" w:after="0"/>
              <w:ind w:hanging="0" w:start="0" w:end="0"/>
              <w:jc w:val="start"/>
              <w:rPr>
                <w:rFonts w:ascii="Graphik;Helvetica Neue;Helvetica;Arial;sans-serif" w:hAnsi="Graphik;Helvetica Neue;Helvetica;Arial;sans-serif" w:eastAsia="Graphik;Helvetica Neue;Helvetica;Arial;sans-serif" w:cs="Graphik;Helvetica Neue;Helvetica;Arial;sans-serif"/>
                <w:b w:val="false"/>
                <w:bCs w:val="false"/>
                <w:color w:val="000000"/>
                <w14:textFill>
                  <w14:solidFill>
                    <w14:srgbClr w14:val="000000">
                      <w14:alpha w14:val="13000"/>
                    </w14:srgbClr>
                  </w14:solidFill>
                </w14:textFill>
              </w:rPr>
            </w:pPr>
            <w:r>
              <w:fldChar w:fldCharType="begin"/>
            </w:r>
            <w:r>
              <w:rPr>
                <w:rStyle w:val="Hyperlink"/>
                <w:dstrike w:val="false"/>
                <w:strike w:val="false"/>
                <w:sz w:val="24"/>
                <w:u w:val="none"/>
                <w:b/>
                <w:effect w:val="none"/>
                <w:rFonts w:ascii="Graphik;Helvetica Neue;Helvetica;Arial;sans-serif" w:hAnsi="Graphik;Helvetica Neue;Helvetica;Arial;sans-serif"/>
                <w:color w:val="00007F"/>
              </w:rPr>
              <w:instrText xml:space="preserve"> HYPERLINK "https://www.gartner.com/doc/reprints?id=1-2JOPNJW9&amp;ct=241212&amp;st=sb" \l "id.lih3xivizfos"</w:instrText>
            </w:r>
            <w:r>
              <w:rPr>
                <w:rStyle w:val="Hyperlink"/>
                <w:dstrike w:val="false"/>
                <w:strike w:val="false"/>
                <w:sz w:val="24"/>
                <w:u w:val="none"/>
                <w:b/>
                <w:effect w:val="none"/>
                <w:rFonts w:ascii="Graphik;Helvetica Neue;Helvetica;Arial;sans-serif" w:hAnsi="Graphik;Helvetica Neue;Helvetica;Arial;sans-serif"/>
                <w:color w:val="00007F"/>
              </w:rPr>
              <w:fldChar w:fldCharType="separate"/>
            </w:r>
            <w:r>
              <w:rPr>
                <w:rStyle w:val="Hyperlink"/>
                <w:rFonts w:ascii="Graphik;Helvetica Neue;Helvetica;Arial;sans-serif" w:hAnsi="Graphik;Helvetica Neue;Helvetica;Arial;sans-serif"/>
                <w:b/>
                <w:strike w:val="false"/>
                <w:dstrike w:val="false"/>
                <w:color w:val="00007F"/>
                <w:sz w:val="24"/>
                <w:u w:val="none"/>
                <w:effect w:val="none"/>
              </w:rPr>
              <w:t>What technology approaches, practices and tools are emerging to manage AI risks?</w:t>
            </w:r>
            <w:r>
              <w:rPr>
                <w:rStyle w:val="Hyperlink"/>
                <w:dstrike w:val="false"/>
                <w:strike w:val="false"/>
                <w:sz w:val="24"/>
                <w:u w:val="none"/>
                <w:b/>
                <w:effect w:val="none"/>
                <w:rFonts w:ascii="Graphik;Helvetica Neue;Helvetica;Arial;sans-serif" w:hAnsi="Graphik;Helvetica Neue;Helvetica;Arial;sans-serif"/>
                <w:color w:val="00007F"/>
              </w:rPr>
              <w:fldChar w:fldCharType="end"/>
            </w:r>
          </w:p>
        </w:tc>
      </w:tr>
      <w:tr>
        <w:trPr/>
        <w:tc>
          <w:tcPr>
            <w:tcW w:w="2128" w:type="dxa"/>
            <w:tcBorders>
              <w:bottom w:val="single" w:sz="2" w:space="0" w:color="E0E0E0"/>
            </w:tcBorders>
            <w:vAlign w:val="center"/>
          </w:tcPr>
          <w:p>
            <w:pPr>
              <w:pStyle w:val="TableContents"/>
              <w:bidi w:val="0"/>
              <w:spacing w:lineRule="atLeast" w:line="435" w:before="0" w:after="0"/>
              <w:ind w:hanging="0" w:start="0" w:end="0"/>
              <w:jc w:val="start"/>
              <w:rPr>
                <w:rFonts w:ascii="Graphik;Helvetica Neue;Helvetica;Arial;sans-serif" w:hAnsi="Graphik;Helvetica Neue;Helvetica;Arial;sans-serif" w:eastAsia="Graphik;Helvetica Neue;Helvetica;Arial;sans-serif" w:cs="Graphik;Helvetica Neue;Helvetica;Arial;sans-serif"/>
                <w:b w:val="false"/>
                <w:bCs w:val="false"/>
                <w:color w:val="000000"/>
                <w14:textFill>
                  <w14:solidFill>
                    <w14:srgbClr w14:val="000000">
                      <w14:alpha w14:val="13000"/>
                    </w14:srgbClr>
                  </w14:solidFill>
                </w14:textFill>
              </w:rPr>
            </w:pPr>
            <w:r>
              <w:fldChar w:fldCharType="begin"/>
            </w:r>
            <w:r>
              <w:rPr>
                <w:rStyle w:val="Hyperlink"/>
                <w:dstrike w:val="false"/>
                <w:strike w:val="false"/>
                <w:sz w:val="24"/>
                <w:u w:val="none"/>
                <w:b/>
                <w:effect w:val="none"/>
                <w:rFonts w:ascii="Graphik;Helvetica Neue;Helvetica;Arial;sans-serif" w:hAnsi="Graphik;Helvetica Neue;Helvetica;Arial;sans-serif"/>
                <w:color w:val="00007F"/>
              </w:rPr>
              <w:instrText xml:space="preserve"> HYPERLINK "https://www.gartner.com/doc/reprints?id=1-2JOPNJW9&amp;ct=241212&amp;st=sb" \l "kix.ky5nx7krcr57"</w:instrText>
            </w:r>
            <w:r>
              <w:rPr>
                <w:rStyle w:val="Hyperlink"/>
                <w:dstrike w:val="false"/>
                <w:strike w:val="false"/>
                <w:sz w:val="24"/>
                <w:u w:val="none"/>
                <w:b/>
                <w:effect w:val="none"/>
                <w:rFonts w:ascii="Graphik;Helvetica Neue;Helvetica;Arial;sans-serif" w:hAnsi="Graphik;Helvetica Neue;Helvetica;Arial;sans-serif"/>
                <w:color w:val="00007F"/>
              </w:rPr>
              <w:fldChar w:fldCharType="separate"/>
            </w:r>
            <w:r>
              <w:rPr>
                <w:rStyle w:val="Hyperlink"/>
                <w:rFonts w:ascii="Graphik;Helvetica Neue;Helvetica;Arial;sans-serif" w:hAnsi="Graphik;Helvetica Neue;Helvetica;Arial;sans-serif"/>
                <w:b/>
                <w:strike w:val="false"/>
                <w:dstrike w:val="false"/>
                <w:color w:val="00007F"/>
                <w:sz w:val="24"/>
                <w:u w:val="none"/>
                <w:effect w:val="none"/>
              </w:rPr>
              <w:t>How do I build an AI governance framework?</w:t>
            </w:r>
            <w:r>
              <w:rPr>
                <w:rStyle w:val="Hyperlink"/>
                <w:dstrike w:val="false"/>
                <w:strike w:val="false"/>
                <w:sz w:val="24"/>
                <w:u w:val="none"/>
                <w:b/>
                <w:effect w:val="none"/>
                <w:rFonts w:ascii="Graphik;Helvetica Neue;Helvetica;Arial;sans-serif" w:hAnsi="Graphik;Helvetica Neue;Helvetica;Arial;sans-serif"/>
                <w:color w:val="00007F"/>
              </w:rPr>
              <w:fldChar w:fldCharType="end"/>
            </w:r>
          </w:p>
        </w:tc>
        <w:tc>
          <w:tcPr>
            <w:tcW w:w="2954" w:type="dxa"/>
            <w:tcBorders>
              <w:bottom w:val="single" w:sz="2" w:space="0" w:color="E0E0E0"/>
            </w:tcBorders>
            <w:vAlign w:val="center"/>
          </w:tcPr>
          <w:p>
            <w:pPr>
              <w:pStyle w:val="TableContents"/>
              <w:bidi w:val="0"/>
              <w:spacing w:lineRule="atLeast" w:line="435" w:before="0" w:after="0"/>
              <w:ind w:hanging="0" w:start="0" w:end="0"/>
              <w:jc w:val="start"/>
              <w:rPr>
                <w:rFonts w:ascii="Graphik;Helvetica Neue;Helvetica;Arial;sans-serif" w:hAnsi="Graphik;Helvetica Neue;Helvetica;Arial;sans-serif" w:eastAsia="Graphik;Helvetica Neue;Helvetica;Arial;sans-serif" w:cs="Graphik;Helvetica Neue;Helvetica;Arial;sans-serif"/>
                <w:b w:val="false"/>
                <w:bCs w:val="false"/>
                <w:color w:val="000000"/>
                <w14:textFill>
                  <w14:solidFill>
                    <w14:srgbClr w14:val="000000">
                      <w14:alpha w14:val="13000"/>
                    </w14:srgbClr>
                  </w14:solidFill>
                </w14:textFill>
              </w:rPr>
            </w:pPr>
            <w:r>
              <w:fldChar w:fldCharType="begin"/>
            </w:r>
            <w:r>
              <w:rPr>
                <w:rStyle w:val="Hyperlink"/>
                <w:dstrike w:val="false"/>
                <w:strike w:val="false"/>
                <w:sz w:val="24"/>
                <w:u w:val="none"/>
                <w:b/>
                <w:effect w:val="none"/>
                <w:rFonts w:ascii="Graphik;Helvetica Neue;Helvetica;Arial;sans-serif" w:hAnsi="Graphik;Helvetica Neue;Helvetica;Arial;sans-serif"/>
                <w:color w:val="00007F"/>
              </w:rPr>
              <w:instrText xml:space="preserve"> HYPERLINK "https://www.gartner.com/doc/reprints?id=1-2JOPNJW9&amp;ct=241212&amp;st=sb" \l "id.gt1f3wbb5gwf"</w:instrText>
            </w:r>
            <w:r>
              <w:rPr>
                <w:rStyle w:val="Hyperlink"/>
                <w:dstrike w:val="false"/>
                <w:strike w:val="false"/>
                <w:sz w:val="24"/>
                <w:u w:val="none"/>
                <w:b/>
                <w:effect w:val="none"/>
                <w:rFonts w:ascii="Graphik;Helvetica Neue;Helvetica;Arial;sans-serif" w:hAnsi="Graphik;Helvetica Neue;Helvetica;Arial;sans-serif"/>
                <w:color w:val="00007F"/>
              </w:rPr>
              <w:fldChar w:fldCharType="separate"/>
            </w:r>
            <w:r>
              <w:rPr>
                <w:rStyle w:val="Hyperlink"/>
                <w:rFonts w:ascii="Graphik;Helvetica Neue;Helvetica;Arial;sans-serif" w:hAnsi="Graphik;Helvetica Neue;Helvetica;Arial;sans-serif"/>
                <w:b/>
                <w:strike w:val="false"/>
                <w:dstrike w:val="false"/>
                <w:color w:val="00007F"/>
                <w:sz w:val="24"/>
                <w:u w:val="none"/>
                <w:effect w:val="none"/>
              </w:rPr>
              <w:t>How do I establish an AI board/council, and what are its roles and responsibilities?</w:t>
            </w:r>
            <w:r>
              <w:rPr>
                <w:rStyle w:val="Hyperlink"/>
                <w:dstrike w:val="false"/>
                <w:strike w:val="false"/>
                <w:sz w:val="24"/>
                <w:u w:val="none"/>
                <w:b/>
                <w:effect w:val="none"/>
                <w:rFonts w:ascii="Graphik;Helvetica Neue;Helvetica;Arial;sans-serif" w:hAnsi="Graphik;Helvetica Neue;Helvetica;Arial;sans-serif"/>
                <w:color w:val="00007F"/>
              </w:rPr>
              <w:fldChar w:fldCharType="end"/>
            </w:r>
          </w:p>
        </w:tc>
        <w:tc>
          <w:tcPr>
            <w:tcW w:w="2217" w:type="dxa"/>
            <w:tcBorders>
              <w:bottom w:val="single" w:sz="2" w:space="0" w:color="E0E0E0"/>
            </w:tcBorders>
            <w:vAlign w:val="center"/>
          </w:tcPr>
          <w:p>
            <w:pPr>
              <w:pStyle w:val="TableContents"/>
              <w:bidi w:val="0"/>
              <w:spacing w:lineRule="atLeast" w:line="435" w:before="0" w:after="0"/>
              <w:ind w:hanging="0" w:start="0" w:end="0"/>
              <w:jc w:val="start"/>
              <w:rPr>
                <w:rFonts w:ascii="Graphik;Helvetica Neue;Helvetica;Arial;sans-serif" w:hAnsi="Graphik;Helvetica Neue;Helvetica;Arial;sans-serif" w:eastAsia="Graphik;Helvetica Neue;Helvetica;Arial;sans-serif" w:cs="Graphik;Helvetica Neue;Helvetica;Arial;sans-serif"/>
                <w:b w:val="false"/>
                <w:bCs w:val="false"/>
                <w:color w:val="000000"/>
                <w14:textFill>
                  <w14:solidFill>
                    <w14:srgbClr w14:val="000000">
                      <w14:alpha w14:val="13000"/>
                    </w14:srgbClr>
                  </w14:solidFill>
                </w14:textFill>
              </w:rPr>
            </w:pPr>
            <w:r>
              <w:fldChar w:fldCharType="begin"/>
            </w:r>
            <w:r>
              <w:rPr>
                <w:rStyle w:val="Hyperlink"/>
                <w:dstrike w:val="false"/>
                <w:strike w:val="false"/>
                <w:sz w:val="24"/>
                <w:u w:val="none"/>
                <w:b/>
                <w:effect w:val="none"/>
                <w:rFonts w:ascii="Graphik;Helvetica Neue;Helvetica;Arial;sans-serif" w:hAnsi="Graphik;Helvetica Neue;Helvetica;Arial;sans-serif"/>
                <w:color w:val="00007F"/>
              </w:rPr>
              <w:instrText xml:space="preserve"> HYPERLINK "https://www.gartner.com/doc/reprints?id=1-2JOPNJW9&amp;ct=241212&amp;st=sb" \l "id.uep0941f00ta"</w:instrText>
            </w:r>
            <w:r>
              <w:rPr>
                <w:rStyle w:val="Hyperlink"/>
                <w:dstrike w:val="false"/>
                <w:strike w:val="false"/>
                <w:sz w:val="24"/>
                <w:u w:val="none"/>
                <w:b/>
                <w:effect w:val="none"/>
                <w:rFonts w:ascii="Graphik;Helvetica Neue;Helvetica;Arial;sans-serif" w:hAnsi="Graphik;Helvetica Neue;Helvetica;Arial;sans-serif"/>
                <w:color w:val="00007F"/>
              </w:rPr>
              <w:fldChar w:fldCharType="separate"/>
            </w:r>
            <w:r>
              <w:rPr>
                <w:rStyle w:val="Hyperlink"/>
                <w:rFonts w:ascii="Graphik;Helvetica Neue;Helvetica;Arial;sans-serif" w:hAnsi="Graphik;Helvetica Neue;Helvetica;Arial;sans-serif"/>
                <w:b/>
                <w:strike w:val="false"/>
                <w:dstrike w:val="false"/>
                <w:color w:val="00007F"/>
                <w:sz w:val="24"/>
                <w:u w:val="none"/>
                <w:effect w:val="none"/>
              </w:rPr>
              <w:t>What are the top AI-related security threats and risks, and how do I mitigate them?</w:t>
            </w:r>
            <w:r>
              <w:rPr>
                <w:rStyle w:val="Hyperlink"/>
                <w:dstrike w:val="false"/>
                <w:strike w:val="false"/>
                <w:sz w:val="24"/>
                <w:u w:val="none"/>
                <w:b/>
                <w:effect w:val="none"/>
                <w:rFonts w:ascii="Graphik;Helvetica Neue;Helvetica;Arial;sans-serif" w:hAnsi="Graphik;Helvetica Neue;Helvetica;Arial;sans-serif"/>
                <w:color w:val="00007F"/>
              </w:rPr>
              <w:fldChar w:fldCharType="end"/>
            </w:r>
          </w:p>
        </w:tc>
        <w:tc>
          <w:tcPr>
            <w:tcW w:w="2339" w:type="dxa"/>
            <w:tcBorders>
              <w:bottom w:val="single" w:sz="2" w:space="0" w:color="E0E0E0"/>
            </w:tcBorders>
            <w:vAlign w:val="center"/>
          </w:tcPr>
          <w:p>
            <w:pPr>
              <w:pStyle w:val="TableContents"/>
              <w:bidi w:val="0"/>
              <w:spacing w:lineRule="atLeast" w:line="435" w:before="0" w:after="0"/>
              <w:ind w:hanging="0" w:start="0" w:end="0"/>
              <w:jc w:val="start"/>
              <w:rPr>
                <w:rFonts w:ascii="Graphik;Helvetica Neue;Helvetica;Arial;sans-serif" w:hAnsi="Graphik;Helvetica Neue;Helvetica;Arial;sans-serif" w:eastAsia="Graphik;Helvetica Neue;Helvetica;Arial;sans-serif" w:cs="Graphik;Helvetica Neue;Helvetica;Arial;sans-serif"/>
                <w:b w:val="false"/>
                <w:bCs w:val="false"/>
                <w:color w:val="000000"/>
                <w14:textFill>
                  <w14:solidFill>
                    <w14:srgbClr w14:val="000000">
                      <w14:alpha w14:val="13000"/>
                    </w14:srgbClr>
                  </w14:solidFill>
                </w14:textFill>
              </w:rPr>
            </w:pPr>
            <w:r>
              <w:fldChar w:fldCharType="begin"/>
            </w:r>
            <w:r>
              <w:rPr>
                <w:rStyle w:val="Hyperlink"/>
                <w:dstrike w:val="false"/>
                <w:strike w:val="false"/>
                <w:sz w:val="24"/>
                <w:u w:val="none"/>
                <w:b/>
                <w:effect w:val="none"/>
                <w:rFonts w:ascii="Graphik;Helvetica Neue;Helvetica;Arial;sans-serif" w:hAnsi="Graphik;Helvetica Neue;Helvetica;Arial;sans-serif"/>
                <w:color w:val="00007F"/>
              </w:rPr>
              <w:instrText xml:space="preserve"> HYPERLINK "https://www.gartner.com/doc/reprints?id=1-2JOPNJW9&amp;ct=241212&amp;st=sb" \l "id.tmxm926zstxj"</w:instrText>
            </w:r>
            <w:r>
              <w:rPr>
                <w:rStyle w:val="Hyperlink"/>
                <w:dstrike w:val="false"/>
                <w:strike w:val="false"/>
                <w:sz w:val="24"/>
                <w:u w:val="none"/>
                <w:b/>
                <w:effect w:val="none"/>
                <w:rFonts w:ascii="Graphik;Helvetica Neue;Helvetica;Arial;sans-serif" w:hAnsi="Graphik;Helvetica Neue;Helvetica;Arial;sans-serif"/>
                <w:color w:val="00007F"/>
              </w:rPr>
              <w:fldChar w:fldCharType="separate"/>
            </w:r>
            <w:r>
              <w:rPr>
                <w:rStyle w:val="Hyperlink"/>
                <w:rFonts w:ascii="Graphik;Helvetica Neue;Helvetica;Arial;sans-serif" w:hAnsi="Graphik;Helvetica Neue;Helvetica;Arial;sans-serif"/>
                <w:b/>
                <w:strike w:val="false"/>
                <w:dstrike w:val="false"/>
                <w:color w:val="00007F"/>
                <w:sz w:val="24"/>
                <w:u w:val="none"/>
                <w:effect w:val="none"/>
              </w:rPr>
              <w:t>How can AI literacy programs be used to support AI governance?</w:t>
            </w:r>
            <w:r>
              <w:rPr>
                <w:rStyle w:val="Hyperlink"/>
                <w:dstrike w:val="false"/>
                <w:strike w:val="false"/>
                <w:sz w:val="24"/>
                <w:u w:val="none"/>
                <w:b/>
                <w:effect w:val="none"/>
                <w:rFonts w:ascii="Graphik;Helvetica Neue;Helvetica;Arial;sans-serif" w:hAnsi="Graphik;Helvetica Neue;Helvetica;Arial;sans-serif"/>
                <w:color w:val="00007F"/>
              </w:rPr>
              <w:fldChar w:fldCharType="end"/>
            </w:r>
          </w:p>
        </w:tc>
      </w:tr>
      <w:tr>
        <w:trPr/>
        <w:tc>
          <w:tcPr>
            <w:tcW w:w="2128" w:type="dxa"/>
            <w:tcBorders>
              <w:bottom w:val="single" w:sz="2" w:space="0" w:color="E0E0E0"/>
            </w:tcBorders>
            <w:vAlign w:val="center"/>
          </w:tcPr>
          <w:p>
            <w:pPr>
              <w:pStyle w:val="TableContents"/>
              <w:bidi w:val="0"/>
              <w:spacing w:lineRule="atLeast" w:line="435" w:before="0" w:after="0"/>
              <w:ind w:hanging="0" w:start="0" w:end="0"/>
              <w:jc w:val="start"/>
              <w:rPr>
                <w:rFonts w:ascii="Graphik;Helvetica Neue;Helvetica;Arial;sans-serif" w:hAnsi="Graphik;Helvetica Neue;Helvetica;Arial;sans-serif" w:eastAsia="Graphik;Helvetica Neue;Helvetica;Arial;sans-serif" w:cs="Graphik;Helvetica Neue;Helvetica;Arial;sans-serif"/>
                <w:b w:val="false"/>
                <w:bCs w:val="false"/>
                <w:color w:val="000000"/>
                <w14:textFill>
                  <w14:solidFill>
                    <w14:srgbClr w14:val="000000">
                      <w14:alpha w14:val="13000"/>
                    </w14:srgbClr>
                  </w14:solidFill>
                </w14:textFill>
              </w:rPr>
            </w:pPr>
            <w:r>
              <w:fldChar w:fldCharType="begin"/>
            </w:r>
            <w:r>
              <w:rPr>
                <w:rStyle w:val="Hyperlink"/>
                <w:dstrike w:val="false"/>
                <w:strike w:val="false"/>
                <w:sz w:val="24"/>
                <w:u w:val="none"/>
                <w:b/>
                <w:effect w:val="none"/>
                <w:rFonts w:ascii="Graphik;Helvetica Neue;Helvetica;Arial;sans-serif" w:hAnsi="Graphik;Helvetica Neue;Helvetica;Arial;sans-serif"/>
                <w:color w:val="00007F"/>
              </w:rPr>
              <w:instrText xml:space="preserve"> HYPERLINK "https://www.gartner.com/doc/reprints?id=1-2JOPNJW9&amp;ct=241212&amp;st=sb" \l "kix.6b4w2stbmff8"</w:instrText>
            </w:r>
            <w:r>
              <w:rPr>
                <w:rStyle w:val="Hyperlink"/>
                <w:dstrike w:val="false"/>
                <w:strike w:val="false"/>
                <w:sz w:val="24"/>
                <w:u w:val="none"/>
                <w:b/>
                <w:effect w:val="none"/>
                <w:rFonts w:ascii="Graphik;Helvetica Neue;Helvetica;Arial;sans-serif" w:hAnsi="Graphik;Helvetica Neue;Helvetica;Arial;sans-serif"/>
                <w:color w:val="00007F"/>
              </w:rPr>
              <w:fldChar w:fldCharType="separate"/>
            </w:r>
            <w:r>
              <w:rPr>
                <w:rStyle w:val="Hyperlink"/>
                <w:rFonts w:ascii="Graphik;Helvetica Neue;Helvetica;Arial;sans-serif" w:hAnsi="Graphik;Helvetica Neue;Helvetica;Arial;sans-serif"/>
                <w:b/>
                <w:strike w:val="false"/>
                <w:dstrike w:val="false"/>
                <w:color w:val="00007F"/>
                <w:sz w:val="24"/>
                <w:u w:val="none"/>
                <w:effect w:val="none"/>
              </w:rPr>
              <w:t>How do I identify and mitigate top AI risks based on use cases?</w:t>
            </w:r>
            <w:r>
              <w:rPr>
                <w:rStyle w:val="Hyperlink"/>
                <w:dstrike w:val="false"/>
                <w:strike w:val="false"/>
                <w:sz w:val="24"/>
                <w:u w:val="none"/>
                <w:b/>
                <w:effect w:val="none"/>
                <w:rFonts w:ascii="Graphik;Helvetica Neue;Helvetica;Arial;sans-serif" w:hAnsi="Graphik;Helvetica Neue;Helvetica;Arial;sans-serif"/>
                <w:color w:val="00007F"/>
              </w:rPr>
              <w:fldChar w:fldCharType="end"/>
            </w:r>
          </w:p>
        </w:tc>
        <w:tc>
          <w:tcPr>
            <w:tcW w:w="2954" w:type="dxa"/>
            <w:tcBorders>
              <w:bottom w:val="single" w:sz="2" w:space="0" w:color="E0E0E0"/>
            </w:tcBorders>
            <w:vAlign w:val="center"/>
          </w:tcPr>
          <w:p>
            <w:pPr>
              <w:pStyle w:val="TableContents"/>
              <w:bidi w:val="0"/>
              <w:spacing w:lineRule="atLeast" w:line="435" w:before="0" w:after="0"/>
              <w:ind w:hanging="0" w:start="0" w:end="0"/>
              <w:jc w:val="start"/>
              <w:rPr>
                <w:rFonts w:ascii="Graphik;Helvetica Neue;Helvetica;Arial;sans-serif" w:hAnsi="Graphik;Helvetica Neue;Helvetica;Arial;sans-serif" w:eastAsia="Graphik;Helvetica Neue;Helvetica;Arial;sans-serif" w:cs="Graphik;Helvetica Neue;Helvetica;Arial;sans-serif"/>
                <w:b w:val="false"/>
                <w:bCs w:val="false"/>
                <w:color w:val="000000"/>
                <w14:textFill>
                  <w14:solidFill>
                    <w14:srgbClr w14:val="000000">
                      <w14:alpha w14:val="13000"/>
                    </w14:srgbClr>
                  </w14:solidFill>
                </w14:textFill>
              </w:rPr>
            </w:pPr>
            <w:r>
              <w:fldChar w:fldCharType="begin"/>
            </w:r>
            <w:r>
              <w:rPr>
                <w:rStyle w:val="Hyperlink"/>
                <w:dstrike w:val="false"/>
                <w:strike w:val="false"/>
                <w:sz w:val="24"/>
                <w:u w:val="none"/>
                <w:b/>
                <w:effect w:val="none"/>
                <w:rFonts w:ascii="Graphik;Helvetica Neue;Helvetica;Arial;sans-serif" w:hAnsi="Graphik;Helvetica Neue;Helvetica;Arial;sans-serif"/>
                <w:color w:val="00007F"/>
              </w:rPr>
              <w:instrText xml:space="preserve"> HYPERLINK "https://www.gartner.com/doc/reprints?id=1-2JOPNJW9&amp;ct=241212&amp;st=sb" \l "id.20i1r48kgnqk"</w:instrText>
            </w:r>
            <w:r>
              <w:rPr>
                <w:rStyle w:val="Hyperlink"/>
                <w:dstrike w:val="false"/>
                <w:strike w:val="false"/>
                <w:sz w:val="24"/>
                <w:u w:val="none"/>
                <w:b/>
                <w:effect w:val="none"/>
                <w:rFonts w:ascii="Graphik;Helvetica Neue;Helvetica;Arial;sans-serif" w:hAnsi="Graphik;Helvetica Neue;Helvetica;Arial;sans-serif"/>
                <w:color w:val="00007F"/>
              </w:rPr>
              <w:fldChar w:fldCharType="separate"/>
            </w:r>
            <w:r>
              <w:rPr>
                <w:rStyle w:val="Hyperlink"/>
                <w:rFonts w:ascii="Graphik;Helvetica Neue;Helvetica;Arial;sans-serif" w:hAnsi="Graphik;Helvetica Neue;Helvetica;Arial;sans-serif"/>
                <w:b/>
                <w:strike w:val="false"/>
                <w:dstrike w:val="false"/>
                <w:color w:val="00007F"/>
                <w:sz w:val="24"/>
                <w:u w:val="none"/>
                <w:effect w:val="none"/>
              </w:rPr>
              <w:t>How can trust be linked to AI value realization?</w:t>
            </w:r>
            <w:r>
              <w:rPr>
                <w:rStyle w:val="Hyperlink"/>
                <w:dstrike w:val="false"/>
                <w:strike w:val="false"/>
                <w:sz w:val="24"/>
                <w:u w:val="none"/>
                <w:b/>
                <w:effect w:val="none"/>
                <w:rFonts w:ascii="Graphik;Helvetica Neue;Helvetica;Arial;sans-serif" w:hAnsi="Graphik;Helvetica Neue;Helvetica;Arial;sans-serif"/>
                <w:color w:val="00007F"/>
              </w:rPr>
              <w:fldChar w:fldCharType="end"/>
            </w:r>
          </w:p>
        </w:tc>
        <w:tc>
          <w:tcPr>
            <w:tcW w:w="2217" w:type="dxa"/>
            <w:tcBorders>
              <w:bottom w:val="single" w:sz="2" w:space="0" w:color="E0E0E0"/>
            </w:tcBorders>
            <w:vAlign w:val="center"/>
          </w:tcPr>
          <w:p>
            <w:pPr>
              <w:pStyle w:val="TableContents"/>
              <w:bidi w:val="0"/>
              <w:spacing w:lineRule="atLeast" w:line="435" w:before="0" w:after="0"/>
              <w:ind w:hanging="0" w:start="0" w:end="0"/>
              <w:jc w:val="start"/>
              <w:rPr>
                <w:rFonts w:ascii="Graphik;Helvetica Neue;Helvetica;Arial;sans-serif" w:hAnsi="Graphik;Helvetica Neue;Helvetica;Arial;sans-serif" w:eastAsia="Graphik;Helvetica Neue;Helvetica;Arial;sans-serif" w:cs="Graphik;Helvetica Neue;Helvetica;Arial;sans-serif"/>
                <w:b w:val="false"/>
                <w:bCs w:val="false"/>
                <w:color w:val="000000"/>
                <w14:textFill>
                  <w14:solidFill>
                    <w14:srgbClr w14:val="000000">
                      <w14:alpha w14:val="13000"/>
                    </w14:srgbClr>
                  </w14:solidFill>
                </w14:textFill>
              </w:rPr>
            </w:pPr>
            <w:r>
              <w:fldChar w:fldCharType="begin"/>
            </w:r>
            <w:r>
              <w:rPr>
                <w:rStyle w:val="Hyperlink"/>
                <w:dstrike w:val="false"/>
                <w:strike w:val="false"/>
                <w:sz w:val="24"/>
                <w:u w:val="none"/>
                <w:b/>
                <w:effect w:val="none"/>
                <w:rFonts w:ascii="Graphik;Helvetica Neue;Helvetica;Arial;sans-serif" w:hAnsi="Graphik;Helvetica Neue;Helvetica;Arial;sans-serif"/>
                <w:color w:val="00007F"/>
              </w:rPr>
              <w:instrText xml:space="preserve"> HYPERLINK "https://www.gartner.com/doc/reprints?id=1-2JOPNJW9&amp;ct=241212&amp;st=sb" \l "id.9onrnnwxw6wx"</w:instrText>
            </w:r>
            <w:r>
              <w:rPr>
                <w:rStyle w:val="Hyperlink"/>
                <w:dstrike w:val="false"/>
                <w:strike w:val="false"/>
                <w:sz w:val="24"/>
                <w:u w:val="none"/>
                <w:b/>
                <w:effect w:val="none"/>
                <w:rFonts w:ascii="Graphik;Helvetica Neue;Helvetica;Arial;sans-serif" w:hAnsi="Graphik;Helvetica Neue;Helvetica;Arial;sans-serif"/>
                <w:color w:val="00007F"/>
              </w:rPr>
              <w:fldChar w:fldCharType="separate"/>
            </w:r>
            <w:r>
              <w:rPr>
                <w:rStyle w:val="Hyperlink"/>
                <w:rFonts w:ascii="Graphik;Helvetica Neue;Helvetica;Arial;sans-serif" w:hAnsi="Graphik;Helvetica Neue;Helvetica;Arial;sans-serif"/>
                <w:b/>
                <w:strike w:val="false"/>
                <w:dstrike w:val="false"/>
                <w:color w:val="00007F"/>
                <w:sz w:val="24"/>
                <w:u w:val="none"/>
                <w:effect w:val="none"/>
              </w:rPr>
              <w:t>How do I establish scalable, ethical and responsible AI practices?</w:t>
            </w:r>
            <w:r>
              <w:rPr>
                <w:rStyle w:val="Hyperlink"/>
                <w:dstrike w:val="false"/>
                <w:strike w:val="false"/>
                <w:sz w:val="24"/>
                <w:u w:val="none"/>
                <w:b/>
                <w:effect w:val="none"/>
                <w:rFonts w:ascii="Graphik;Helvetica Neue;Helvetica;Arial;sans-serif" w:hAnsi="Graphik;Helvetica Neue;Helvetica;Arial;sans-serif"/>
                <w:color w:val="00007F"/>
              </w:rPr>
              <w:fldChar w:fldCharType="end"/>
            </w:r>
          </w:p>
        </w:tc>
        <w:tc>
          <w:tcPr>
            <w:tcW w:w="2339" w:type="dxa"/>
            <w:tcBorders>
              <w:bottom w:val="single" w:sz="2" w:space="0" w:color="E0E0E0"/>
            </w:tcBorders>
            <w:vAlign w:val="center"/>
          </w:tcPr>
          <w:p>
            <w:pPr>
              <w:pStyle w:val="TableContents"/>
              <w:bidi w:val="0"/>
              <w:ind w:hanging="0" w:start="0" w:end="0"/>
              <w:jc w:val="start"/>
              <w:rPr>
                <w:sz w:val="4"/>
                <w:szCs w:val="4"/>
              </w:rPr>
            </w:pPr>
            <w:r>
              <w:rPr>
                <w:sz w:val="4"/>
                <w:szCs w:val="4"/>
              </w:rPr>
            </w:r>
          </w:p>
        </w:tc>
      </w:tr>
      <w:tr>
        <w:trPr/>
        <w:tc>
          <w:tcPr>
            <w:tcW w:w="2128" w:type="dxa"/>
            <w:tcBorders>
              <w:bottom w:val="single" w:sz="2" w:space="0" w:color="E0E0E0"/>
            </w:tcBorders>
            <w:vAlign w:val="center"/>
          </w:tcPr>
          <w:p>
            <w:pPr>
              <w:pStyle w:val="TableContents"/>
              <w:bidi w:val="0"/>
              <w:ind w:hanging="0" w:start="0" w:end="0"/>
              <w:jc w:val="start"/>
              <w:rPr>
                <w:sz w:val="4"/>
                <w:szCs w:val="4"/>
              </w:rPr>
            </w:pPr>
            <w:r>
              <w:rPr>
                <w:sz w:val="4"/>
                <w:szCs w:val="4"/>
              </w:rPr>
            </w:r>
          </w:p>
        </w:tc>
        <w:tc>
          <w:tcPr>
            <w:tcW w:w="2954" w:type="dxa"/>
            <w:tcBorders>
              <w:bottom w:val="single" w:sz="2" w:space="0" w:color="E0E0E0"/>
            </w:tcBorders>
            <w:vAlign w:val="center"/>
          </w:tcPr>
          <w:p>
            <w:pPr>
              <w:pStyle w:val="TableContents"/>
              <w:bidi w:val="0"/>
              <w:ind w:hanging="0" w:start="0" w:end="0"/>
              <w:jc w:val="start"/>
              <w:rPr>
                <w:sz w:val="4"/>
                <w:szCs w:val="4"/>
              </w:rPr>
            </w:pPr>
            <w:r>
              <w:rPr>
                <w:sz w:val="4"/>
                <w:szCs w:val="4"/>
              </w:rPr>
            </w:r>
          </w:p>
        </w:tc>
        <w:tc>
          <w:tcPr>
            <w:tcW w:w="2217" w:type="dxa"/>
            <w:tcBorders>
              <w:bottom w:val="single" w:sz="2" w:space="0" w:color="E0E0E0"/>
            </w:tcBorders>
            <w:vAlign w:val="center"/>
          </w:tcPr>
          <w:p>
            <w:pPr>
              <w:pStyle w:val="TableContents"/>
              <w:bidi w:val="0"/>
              <w:spacing w:lineRule="atLeast" w:line="435" w:before="0" w:after="0"/>
              <w:ind w:hanging="0" w:start="0" w:end="0"/>
              <w:jc w:val="start"/>
              <w:rPr>
                <w:rFonts w:ascii="Graphik;Helvetica Neue;Helvetica;Arial;sans-serif" w:hAnsi="Graphik;Helvetica Neue;Helvetica;Arial;sans-serif" w:eastAsia="Graphik;Helvetica Neue;Helvetica;Arial;sans-serif" w:cs="Graphik;Helvetica Neue;Helvetica;Arial;sans-serif"/>
                <w:b w:val="false"/>
                <w:bCs w:val="false"/>
                <w:color w:val="000000"/>
                <w14:textFill>
                  <w14:solidFill>
                    <w14:srgbClr w14:val="000000">
                      <w14:alpha w14:val="13000"/>
                    </w14:srgbClr>
                  </w14:solidFill>
                </w14:textFill>
              </w:rPr>
            </w:pPr>
            <w:r>
              <w:fldChar w:fldCharType="begin"/>
            </w:r>
            <w:r>
              <w:rPr>
                <w:rStyle w:val="Hyperlink"/>
                <w:dstrike w:val="false"/>
                <w:strike w:val="false"/>
                <w:sz w:val="24"/>
                <w:u w:val="none"/>
                <w:b/>
                <w:effect w:val="none"/>
                <w:rFonts w:ascii="Graphik;Helvetica Neue;Helvetica;Arial;sans-serif" w:hAnsi="Graphik;Helvetica Neue;Helvetica;Arial;sans-serif"/>
                <w:color w:val="00007F"/>
              </w:rPr>
              <w:instrText xml:space="preserve"> HYPERLINK "https://www.gartner.com/doc/reprints?id=1-2JOPNJW9&amp;ct=241212&amp;st=sb" \l "id.xk06mi90bxdo"</w:instrText>
            </w:r>
            <w:r>
              <w:rPr>
                <w:rStyle w:val="Hyperlink"/>
                <w:dstrike w:val="false"/>
                <w:strike w:val="false"/>
                <w:sz w:val="24"/>
                <w:u w:val="none"/>
                <w:b/>
                <w:effect w:val="none"/>
                <w:rFonts w:ascii="Graphik;Helvetica Neue;Helvetica;Arial;sans-serif" w:hAnsi="Graphik;Helvetica Neue;Helvetica;Arial;sans-serif"/>
                <w:color w:val="00007F"/>
              </w:rPr>
              <w:fldChar w:fldCharType="separate"/>
            </w:r>
            <w:r>
              <w:rPr>
                <w:rStyle w:val="Hyperlink"/>
                <w:rFonts w:ascii="Graphik;Helvetica Neue;Helvetica;Arial;sans-serif" w:hAnsi="Graphik;Helvetica Neue;Helvetica;Arial;sans-serif"/>
                <w:b/>
                <w:strike w:val="false"/>
                <w:dstrike w:val="false"/>
                <w:color w:val="00007F"/>
                <w:sz w:val="24"/>
                <w:u w:val="none"/>
                <w:effect w:val="none"/>
              </w:rPr>
              <w:t>How does D&amp;A governance need to change to support AI?</w:t>
            </w:r>
            <w:r>
              <w:rPr>
                <w:rStyle w:val="Hyperlink"/>
                <w:dstrike w:val="false"/>
                <w:strike w:val="false"/>
                <w:sz w:val="24"/>
                <w:u w:val="none"/>
                <w:b/>
                <w:effect w:val="none"/>
                <w:rFonts w:ascii="Graphik;Helvetica Neue;Helvetica;Arial;sans-serif" w:hAnsi="Graphik;Helvetica Neue;Helvetica;Arial;sans-serif"/>
                <w:color w:val="00007F"/>
              </w:rPr>
              <w:fldChar w:fldCharType="end"/>
            </w:r>
          </w:p>
        </w:tc>
        <w:tc>
          <w:tcPr>
            <w:tcW w:w="2339" w:type="dxa"/>
            <w:tcBorders>
              <w:bottom w:val="single" w:sz="2" w:space="0" w:color="E0E0E0"/>
            </w:tcBorders>
            <w:vAlign w:val="center"/>
          </w:tcPr>
          <w:p>
            <w:pPr>
              <w:pStyle w:val="TableContents"/>
              <w:bidi w:val="0"/>
              <w:ind w:hanging="0" w:start="0" w:end="0"/>
              <w:jc w:val="start"/>
              <w:rPr>
                <w:sz w:val="4"/>
                <w:szCs w:val="4"/>
              </w:rPr>
            </w:pPr>
            <w:r>
              <w:rPr>
                <w:sz w:val="4"/>
                <w:szCs w:val="4"/>
              </w:rPr>
            </w:r>
          </w:p>
        </w:tc>
      </w:tr>
      <w:tr>
        <w:trPr/>
        <w:tc>
          <w:tcPr>
            <w:tcW w:w="9638" w:type="dxa"/>
            <w:gridSpan w:val="4"/>
            <w:tcBorders>
              <w:bottom w:val="single" w:sz="2" w:space="0" w:color="E0E0E0"/>
            </w:tcBorders>
            <w:vAlign w:val="center"/>
          </w:tcPr>
          <w:p>
            <w:pPr>
              <w:pStyle w:val="TableContents"/>
              <w:bidi w:val="0"/>
              <w:ind w:hanging="0" w:start="0" w:end="0"/>
              <w:jc w:val="start"/>
              <w:rPr>
                <w:sz w:val="4"/>
                <w:szCs w:val="4"/>
              </w:rPr>
            </w:pPr>
            <w:r>
              <w:rPr>
                <w:sz w:val="4"/>
                <w:szCs w:val="4"/>
              </w:rPr>
            </w:r>
          </w:p>
        </w:tc>
      </w:tr>
    </w:tbl>
    <w:p>
      <w:pPr>
        <w:pStyle w:val="BodyText"/>
        <w:bidi w:val="0"/>
        <w:spacing w:lineRule="atLeast" w:line="330" w:before="0" w:after="360"/>
        <w:ind w:hanging="0" w:start="0" w:end="0"/>
        <w:jc w:val="start"/>
        <w:rPr>
          <w:color w:val="757575"/>
          <w:sz w:val="24"/>
          <w:shd w:fill="FFFFFF" w:val="clear"/>
        </w:rPr>
      </w:pPr>
      <w:r>
        <w:rPr>
          <w:color w:val="757575"/>
          <w:sz w:val="24"/>
          <w:shd w:fill="FFFFFF" w:val="clear"/>
        </w:rPr>
        <w:t>Source: Gartner</w:t>
      </w:r>
    </w:p>
    <w:p>
      <w:pPr>
        <w:pStyle w:val="BodyText"/>
        <w:bidi w:val="0"/>
        <w:spacing w:lineRule="atLeast" w:line="330" w:before="0" w:after="60"/>
        <w:ind w:hanging="0" w:start="0" w:end="0"/>
        <w:jc w:val="start"/>
        <w:rPr/>
      </w:pPr>
      <w:hyperlink r:id="rId2">
        <w:r>
          <w:rPr>
            <w:rStyle w:val="Hyperlink"/>
            <w:b/>
            <w:strike w:val="false"/>
            <w:dstrike w:val="false"/>
            <w:color w:val="000000"/>
            <w:sz w:val="21"/>
            <w:u w:val="none"/>
            <w:effect w:val="none"/>
            <w:shd w:fill="F5FBFD" w:val="clear"/>
          </w:rPr>
          <w:t>Downloadable Slides: A Journey Guide to Manage AI Governance, Trust, Risk and Security</w:t>
        </w:r>
      </w:hyperlink>
    </w:p>
    <w:p>
      <w:pPr>
        <w:pStyle w:val="BodyText"/>
        <w:bidi w:val="0"/>
        <w:spacing w:lineRule="atLeast" w:line="285" w:before="0" w:after="0"/>
        <w:ind w:hanging="0" w:start="0" w:end="0"/>
        <w:jc w:val="start"/>
        <w:rPr/>
      </w:pPr>
      <w:hyperlink r:id="rId3">
        <w:r>
          <w:rPr>
            <w:rStyle w:val="Hyperlink"/>
            <w:b w:val="false"/>
            <w:strike w:val="false"/>
            <w:dstrike w:val="false"/>
            <w:color w:val="000000"/>
            <w:sz w:val="18"/>
            <w:u w:val="none"/>
            <w:effect w:val="none"/>
            <w:shd w:fill="F5FBFD" w:val="clear"/>
          </w:rPr>
          <w:t>Download (pptx)</w:t>
        </w:r>
      </w:hyperlink>
    </w:p>
    <w:p>
      <w:pPr>
        <w:pStyle w:val="BodyText"/>
        <w:bidi w:val="0"/>
        <w:spacing w:before="0" w:after="0"/>
        <w:ind w:start="0" w:end="0"/>
        <w:jc w:val="center"/>
        <w:rPr/>
      </w:pPr>
      <w:hyperlink r:id="rId4">
        <w:r>
          <w:rPr/>
        </w:r>
      </w:hyperlink>
    </w:p>
    <w:p>
      <w:pPr>
        <w:pStyle w:val="Heading2"/>
        <w:widowControl/>
        <w:bidi w:val="0"/>
        <w:spacing w:lineRule="atLeast" w:line="885" w:before="0" w:after="360"/>
        <w:ind w:hanging="0" w:start="0" w:end="0"/>
        <w:jc w:val="start"/>
        <w:rPr>
          <w:rFonts w:ascii="Graphik;Gartner sans;Helvetica Neue;Helvetica;Arial;sans-serif" w:hAnsi="Graphik;Gartner sans;Helvetica Neue;Helvetica;Arial;sans-serif"/>
          <w:b w:val="false"/>
          <w:i w:val="false"/>
          <w:caps w:val="false"/>
          <w:smallCaps w:val="false"/>
          <w:color w:val="000000"/>
          <w:spacing w:val="0"/>
          <w:sz w:val="56"/>
        </w:rPr>
      </w:pPr>
      <w:bookmarkStart w:id="3" w:name="efb9f3e2-8946-44e4-8591-9b93fe9617a6"/>
      <w:bookmarkEnd w:id="3"/>
      <w:r>
        <w:rPr>
          <w:rFonts w:ascii="Graphik;Gartner sans;Helvetica Neue;Helvetica;Arial;sans-serif" w:hAnsi="Graphik;Gartner sans;Helvetica Neue;Helvetica;Arial;sans-serif"/>
          <w:b w:val="false"/>
          <w:i w:val="false"/>
          <w:caps w:val="false"/>
          <w:smallCaps w:val="false"/>
          <w:color w:val="000000"/>
          <w:spacing w:val="0"/>
          <w:sz w:val="56"/>
        </w:rPr>
        <w:t>Research Highlights</w:t>
      </w:r>
    </w:p>
    <w:p>
      <w:pPr>
        <w:pStyle w:val="BodyText"/>
        <w:widowControl/>
        <w:bidi w:val="0"/>
        <w:spacing w:lineRule="atLeast" w:line="435" w:before="0" w:after="360"/>
        <w:ind w:hanging="0" w:start="0" w:end="0"/>
        <w:jc w:val="start"/>
        <w:rPr/>
      </w:pPr>
      <w:r>
        <w:rPr>
          <w:rStyle w:val="Emphasis"/>
          <w:rFonts w:ascii="Graphik;Gartner sans;Helvetica Neue;Helvetica;Arial;sans-serif" w:hAnsi="Graphik;Gartner sans;Helvetica Neue;Helvetica;Arial;sans-serif"/>
          <w:b w:val="false"/>
          <w:i w:val="false"/>
          <w:caps w:val="false"/>
          <w:smallCaps w:val="false"/>
          <w:color w:val="2F3940"/>
          <w:spacing w:val="0"/>
          <w:sz w:val="26"/>
        </w:rPr>
        <w:t>Some recommended content may not be available as part of your current Gartner subscription.</w:t>
      </w:r>
    </w:p>
    <w:p>
      <w:pPr>
        <w:pStyle w:val="Heading3"/>
        <w:widowControl/>
        <w:bidi w:val="0"/>
        <w:spacing w:lineRule="atLeast" w:line="720" w:before="0" w:after="300"/>
        <w:ind w:hanging="0" w:start="0" w:end="0"/>
        <w:jc w:val="start"/>
        <w:rPr>
          <w:rFonts w:ascii="Graphik;Gartner sans;Helvetica Neue;Helvetica;Arial;sans-serif" w:hAnsi="Graphik;Gartner sans;Helvetica Neue;Helvetica;Arial;sans-serif"/>
          <w:b w:val="false"/>
          <w:i w:val="false"/>
          <w:caps w:val="false"/>
          <w:smallCaps w:val="false"/>
          <w:color w:val="000000"/>
          <w:spacing w:val="0"/>
          <w:sz w:val="45"/>
        </w:rPr>
      </w:pPr>
      <w:bookmarkStart w:id="4" w:name="a1fc1d7f-bd6c-40fe-9bad-47bc512776bb"/>
      <w:bookmarkEnd w:id="4"/>
      <w:r>
        <w:rPr>
          <w:rFonts w:ascii="Graphik;Gartner sans;Helvetica Neue;Helvetica;Arial;sans-serif" w:hAnsi="Graphik;Gartner sans;Helvetica Neue;Helvetica;Arial;sans-serif"/>
          <w:b w:val="false"/>
          <w:i w:val="false"/>
          <w:caps w:val="false"/>
          <w:smallCaps w:val="false"/>
          <w:color w:val="000000"/>
          <w:spacing w:val="0"/>
          <w:sz w:val="45"/>
        </w:rPr>
        <w:t>Step 1: Gain Foresight and Get Grounded</w:t>
      </w:r>
    </w:p>
    <w:p>
      <w:pPr>
        <w:pStyle w:val="BodyText"/>
        <w:widowControl/>
        <w:bidi w:val="0"/>
        <w:spacing w:lineRule="atLeast" w:line="435" w:before="0" w:after="360"/>
        <w:ind w:hanging="0"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drawing>
          <wp:anchor behindDoc="0" distT="0" distB="76200" distL="0" distR="304800" simplePos="0" locked="0" layoutInCell="0" allowOverlap="1" relativeHeight="2">
            <wp:simplePos x="0" y="0"/>
            <wp:positionH relativeFrom="column">
              <wp:align>left</wp:align>
            </wp:positionH>
            <wp:positionV relativeFrom="line">
              <wp:posOffset>635</wp:posOffset>
            </wp:positionV>
            <wp:extent cx="1981200" cy="1295400"/>
            <wp:effectExtent l="0" t="0" r="0" b="0"/>
            <wp:wrapSquare wrapText="righ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5"/>
                    <a:stretch>
                      <a:fillRect/>
                    </a:stretch>
                  </pic:blipFill>
                  <pic:spPr bwMode="auto">
                    <a:xfrm>
                      <a:off x="0" y="0"/>
                      <a:ext cx="1981200" cy="1295400"/>
                    </a:xfrm>
                    <a:prstGeom prst="rect">
                      <a:avLst/>
                    </a:prstGeom>
                    <a:noFill/>
                  </pic:spPr>
                </pic:pic>
              </a:graphicData>
            </a:graphic>
          </wp:anchor>
        </w:drawing>
      </w:r>
      <w:r>
        <w:rPr>
          <w:rFonts w:ascii="Graphik;Gartner sans;Helvetica Neue;Helvetica;Arial;sans-serif" w:hAnsi="Graphik;Gartner sans;Helvetica Neue;Helvetica;Arial;sans-serif"/>
          <w:b w:val="false"/>
          <w:i w:val="false"/>
          <w:caps w:val="false"/>
          <w:smallCaps w:val="false"/>
          <w:color w:val="2F3940"/>
          <w:spacing w:val="0"/>
          <w:sz w:val="24"/>
        </w:rPr>
        <w:t>The journey begins with gaining foresight and grounding your organization in the fundamentals of AI governance. This includes understanding how to get started, identifying the dimensions of AI governance, and discussing AI risk, trust and governance imperatives with the board.</w:t>
      </w:r>
    </w:p>
    <w:p>
      <w:pPr>
        <w:pStyle w:val="Heading4"/>
        <w:widowControl/>
        <w:bidi w:val="0"/>
        <w:spacing w:lineRule="atLeast" w:line="570" w:before="0" w:after="120"/>
        <w:ind w:hanging="0" w:start="0" w:end="0"/>
        <w:jc w:val="start"/>
        <w:rPr>
          <w:rFonts w:ascii="Graphik;Gartner sans;Helvetica Neue;Helvetica;Arial;sans-serif" w:hAnsi="Graphik;Gartner sans;Helvetica Neue;Helvetica;Arial;sans-serif"/>
          <w:b/>
          <w:i w:val="false"/>
          <w:caps w:val="false"/>
          <w:smallCaps w:val="false"/>
          <w:color w:val="000000"/>
          <w:spacing w:val="0"/>
          <w:sz w:val="36"/>
        </w:rPr>
      </w:pPr>
      <w:bookmarkStart w:id="5" w:name="kix.viy5g2pwln1"/>
      <w:bookmarkEnd w:id="5"/>
      <w:r>
        <w:rPr>
          <w:rFonts w:ascii="Graphik;Gartner sans;Helvetica Neue;Helvetica;Arial;sans-serif" w:hAnsi="Graphik;Gartner sans;Helvetica Neue;Helvetica;Arial;sans-serif"/>
          <w:b/>
          <w:i w:val="false"/>
          <w:caps w:val="false"/>
          <w:smallCaps w:val="false"/>
          <w:color w:val="000000"/>
          <w:spacing w:val="0"/>
          <w:sz w:val="36"/>
        </w:rPr>
        <w:t>What is required to manage AI governance, trust, risk and security?</w:t>
      </w:r>
    </w:p>
    <w:p>
      <w:pPr>
        <w:pStyle w:val="BodyText"/>
        <w:widowControl/>
        <w:bidi w:val="0"/>
        <w:spacing w:lineRule="atLeast" w:line="435" w:before="0" w:after="360"/>
        <w:ind w:hanging="0"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Effectively managing AI governance, trust, risk and security requires a structured approach to ensure alignment with organizational priorities and secure deployment of AI technologies. Without such a structure, organizations risk mismanaging AI initiatives and exposing themselves to security vulnerabilities. Key steps include:</w:t>
      </w:r>
    </w:p>
    <w:p>
      <w:pPr>
        <w:pStyle w:val="BodyText"/>
        <w:widowControl/>
        <w:numPr>
          <w:ilvl w:val="0"/>
          <w:numId w:val="2"/>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Establish an AI board/council:</w:t>
      </w:r>
      <w:r>
        <w:rPr>
          <w:rFonts w:ascii="Graphik;Gartner sans;Helvetica Neue;Helvetica;Arial;sans-serif" w:hAnsi="Graphik;Gartner sans;Helvetica Neue;Helvetica;Arial;sans-serif"/>
          <w:b w:val="false"/>
          <w:i w:val="false"/>
          <w:caps w:val="false"/>
          <w:smallCaps w:val="false"/>
          <w:color w:val="2F3940"/>
          <w:spacing w:val="0"/>
          <w:sz w:val="24"/>
        </w:rPr>
        <w:t> Form an AI board/council under the supervision of an AI leader that aligns with C-suite executives’ priorities and includes members with expertise in business strategy, data, AI, risk, ethics and IT.</w:t>
      </w:r>
    </w:p>
    <w:p>
      <w:pPr>
        <w:pStyle w:val="BodyText"/>
        <w:widowControl/>
        <w:numPr>
          <w:ilvl w:val="0"/>
          <w:numId w:val="2"/>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Develop foundational security:</w:t>
      </w:r>
      <w:r>
        <w:rPr>
          <w:rFonts w:ascii="Graphik;Gartner sans;Helvetica Neue;Helvetica;Arial;sans-serif" w:hAnsi="Graphik;Gartner sans;Helvetica Neue;Helvetica;Arial;sans-serif"/>
          <w:b w:val="false"/>
          <w:i w:val="false"/>
          <w:caps w:val="false"/>
          <w:smallCaps w:val="false"/>
          <w:color w:val="2F3940"/>
          <w:spacing w:val="0"/>
          <w:sz w:val="24"/>
        </w:rPr>
        <w:t> Ensure foundational security in cloud, data and applications before implementing AI-specific controls.</w:t>
      </w:r>
    </w:p>
    <w:p>
      <w:pPr>
        <w:pStyle w:val="BodyText"/>
        <w:widowControl/>
        <w:numPr>
          <w:ilvl w:val="0"/>
          <w:numId w:val="2"/>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Implement AI-specific controls:</w:t>
      </w:r>
      <w:r>
        <w:rPr>
          <w:rFonts w:ascii="Graphik;Gartner sans;Helvetica Neue;Helvetica;Arial;sans-serif" w:hAnsi="Graphik;Gartner sans;Helvetica Neue;Helvetica;Arial;sans-serif"/>
          <w:b w:val="false"/>
          <w:i w:val="false"/>
          <w:caps w:val="false"/>
          <w:smallCaps w:val="false"/>
          <w:color w:val="2F3940"/>
          <w:spacing w:val="0"/>
          <w:sz w:val="24"/>
        </w:rPr>
        <w:t> Use tools like security service edge (SSE) and AI trust, risk and security management (TRiSM) controls to support trusted and secure use of AI.</w:t>
      </w:r>
    </w:p>
    <w:p>
      <w:pPr>
        <w:pStyle w:val="BodyText"/>
        <w:widowControl/>
        <w:numPr>
          <w:ilvl w:val="0"/>
          <w:numId w:val="2"/>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Secure AI application use:</w:t>
      </w:r>
      <w:r>
        <w:rPr>
          <w:rFonts w:ascii="Graphik;Gartner sans;Helvetica Neue;Helvetica;Arial;sans-serif" w:hAnsi="Graphik;Gartner sans;Helvetica Neue;Helvetica;Arial;sans-serif"/>
          <w:b w:val="false"/>
          <w:i w:val="false"/>
          <w:caps w:val="false"/>
          <w:smallCaps w:val="false"/>
          <w:color w:val="2F3940"/>
          <w:spacing w:val="0"/>
          <w:sz w:val="24"/>
        </w:rPr>
        <w:t> Block unapproved apps and use guardrails to secure and protect AI application inputs and outputs.</w:t>
      </w:r>
    </w:p>
    <w:p>
      <w:pPr>
        <w:pStyle w:val="BodyText"/>
        <w:widowControl/>
        <w:numPr>
          <w:ilvl w:val="0"/>
          <w:numId w:val="2"/>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Deploy and monitor security controls:</w:t>
      </w:r>
      <w:r>
        <w:rPr>
          <w:rFonts w:ascii="Graphik;Gartner sans;Helvetica Neue;Helvetica;Arial;sans-serif" w:hAnsi="Graphik;Gartner sans;Helvetica Neue;Helvetica;Arial;sans-serif"/>
          <w:b w:val="false"/>
          <w:i w:val="false"/>
          <w:caps w:val="false"/>
          <w:smallCaps w:val="false"/>
          <w:color w:val="2F3940"/>
          <w:spacing w:val="0"/>
          <w:sz w:val="24"/>
        </w:rPr>
        <w:t> Implement practical security and trust controls, such as sensitive prompt filtering and content safety filters, and stay updated on academic research and evolving trust and security measures.</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Market Guide for AI Trust, Risk and Security Management</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The Pillars of a Successful Artificial Intelligence Strategy</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Executive AI Governance Playbook</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Toolkit: Setting Up a Committee Charter for AI Governance</w:t>
      </w:r>
    </w:p>
    <w:p>
      <w:pPr>
        <w:pStyle w:val="Heading4"/>
        <w:widowControl/>
        <w:bidi w:val="0"/>
        <w:spacing w:lineRule="atLeast" w:line="570" w:before="0" w:after="120"/>
        <w:ind w:hanging="0" w:start="0" w:end="0"/>
        <w:jc w:val="start"/>
        <w:rPr>
          <w:rFonts w:ascii="Graphik;Gartner sans;Helvetica Neue;Helvetica;Arial;sans-serif" w:hAnsi="Graphik;Gartner sans;Helvetica Neue;Helvetica;Arial;sans-serif"/>
          <w:b/>
          <w:i w:val="false"/>
          <w:caps w:val="false"/>
          <w:smallCaps w:val="false"/>
          <w:color w:val="000000"/>
          <w:spacing w:val="0"/>
          <w:sz w:val="36"/>
        </w:rPr>
      </w:pPr>
      <w:bookmarkStart w:id="6" w:name="kix.ky5nx7krcr57"/>
      <w:bookmarkEnd w:id="6"/>
      <w:r>
        <w:rPr>
          <w:rFonts w:ascii="Graphik;Gartner sans;Helvetica Neue;Helvetica;Arial;sans-serif" w:hAnsi="Graphik;Gartner sans;Helvetica Neue;Helvetica;Arial;sans-serif"/>
          <w:b/>
          <w:i w:val="false"/>
          <w:caps w:val="false"/>
          <w:smallCaps w:val="false"/>
          <w:color w:val="000000"/>
          <w:spacing w:val="0"/>
          <w:sz w:val="36"/>
        </w:rPr>
        <w:t>How do I build an AI governance framework?</w:t>
      </w:r>
    </w:p>
    <w:p>
      <w:pPr>
        <w:pStyle w:val="BodyText"/>
        <w:widowControl/>
        <w:bidi w:val="0"/>
        <w:spacing w:lineRule="atLeast" w:line="435" w:before="0" w:after="360"/>
        <w:ind w:hanging="0"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Effective AI governance hinges on the ability to ask and answer critical questions across various dimensions. Without this capability, organizations may struggle to make informed decisions, leading to misaligned AI initiatives and potential risks.</w:t>
      </w:r>
    </w:p>
    <w:p>
      <w:pPr>
        <w:pStyle w:val="BodyText"/>
        <w:widowControl/>
        <w:bidi w:val="0"/>
        <w:spacing w:lineRule="atLeast" w:line="435" w:before="0" w:after="360"/>
        <w:ind w:hanging="0"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Establishing effective AI governance involves three key steps:</w:t>
      </w:r>
    </w:p>
    <w:p>
      <w:pPr>
        <w:pStyle w:val="BodyText"/>
        <w:widowControl/>
        <w:numPr>
          <w:ilvl w:val="0"/>
          <w:numId w:val="3"/>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Identify dimension owners:</w:t>
      </w:r>
      <w:r>
        <w:rPr>
          <w:rFonts w:ascii="Graphik;Gartner sans;Helvetica Neue;Helvetica;Arial;sans-serif" w:hAnsi="Graphik;Gartner sans;Helvetica Neue;Helvetica;Arial;sans-serif"/>
          <w:b w:val="false"/>
          <w:i w:val="false"/>
          <w:caps w:val="false"/>
          <w:smallCaps w:val="false"/>
          <w:color w:val="2F3940"/>
          <w:spacing w:val="0"/>
          <w:sz w:val="24"/>
        </w:rPr>
        <w:t> Assign owners to organizational, societal, customer-facing and employee-facing AI dimensions.</w:t>
      </w:r>
    </w:p>
    <w:p>
      <w:pPr>
        <w:pStyle w:val="BodyText"/>
        <w:widowControl/>
        <w:numPr>
          <w:ilvl w:val="0"/>
          <w:numId w:val="3"/>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Differentiate decision rights:</w:t>
      </w:r>
      <w:r>
        <w:rPr>
          <w:rFonts w:ascii="Graphik;Gartner sans;Helvetica Neue;Helvetica;Arial;sans-serif" w:hAnsi="Graphik;Gartner sans;Helvetica Neue;Helvetica;Arial;sans-serif"/>
          <w:b w:val="false"/>
          <w:i w:val="false"/>
          <w:caps w:val="false"/>
          <w:smallCaps w:val="false"/>
          <w:color w:val="2F3940"/>
          <w:spacing w:val="0"/>
          <w:sz w:val="24"/>
        </w:rPr>
        <w:t> Leverage the unique expertise and perspectives of these owners to differentiate their decision rights.</w:t>
      </w:r>
    </w:p>
    <w:p>
      <w:pPr>
        <w:pStyle w:val="BodyText"/>
        <w:widowControl/>
        <w:numPr>
          <w:ilvl w:val="0"/>
          <w:numId w:val="3"/>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Address key dilemmas:</w:t>
      </w:r>
      <w:r>
        <w:rPr>
          <w:rFonts w:ascii="Graphik;Gartner sans;Helvetica Neue;Helvetica;Arial;sans-serif" w:hAnsi="Graphik;Gartner sans;Helvetica Neue;Helvetica;Arial;sans-serif"/>
          <w:b w:val="false"/>
          <w:i w:val="false"/>
          <w:caps w:val="false"/>
          <w:smallCaps w:val="false"/>
          <w:color w:val="2F3940"/>
          <w:spacing w:val="0"/>
          <w:sz w:val="24"/>
        </w:rPr>
        <w:t> Ensure each governance decision is informed by the specific expertise needed to address key dilemmas.</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Artificial Intelligence Requires an Extended Governance Framework</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Tool: Policy Template for Acceptable Use of Generative AI</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How to Manage Digital Ethical Dilemmas</w:t>
      </w:r>
    </w:p>
    <w:p>
      <w:pPr>
        <w:pStyle w:val="Heading4"/>
        <w:widowControl/>
        <w:bidi w:val="0"/>
        <w:spacing w:lineRule="atLeast" w:line="570" w:before="0" w:after="120"/>
        <w:ind w:hanging="0" w:start="0" w:end="0"/>
        <w:jc w:val="start"/>
        <w:rPr>
          <w:rFonts w:ascii="Graphik;Gartner sans;Helvetica Neue;Helvetica;Arial;sans-serif" w:hAnsi="Graphik;Gartner sans;Helvetica Neue;Helvetica;Arial;sans-serif"/>
          <w:b/>
          <w:i w:val="false"/>
          <w:caps w:val="false"/>
          <w:smallCaps w:val="false"/>
          <w:color w:val="000000"/>
          <w:spacing w:val="0"/>
          <w:sz w:val="36"/>
        </w:rPr>
      </w:pPr>
      <w:bookmarkStart w:id="7" w:name="kix.6b4w2stbmff8"/>
      <w:bookmarkEnd w:id="7"/>
      <w:r>
        <w:rPr>
          <w:rFonts w:ascii="Graphik;Gartner sans;Helvetica Neue;Helvetica;Arial;sans-serif" w:hAnsi="Graphik;Gartner sans;Helvetica Neue;Helvetica;Arial;sans-serif"/>
          <w:b/>
          <w:i w:val="false"/>
          <w:caps w:val="false"/>
          <w:smallCaps w:val="false"/>
          <w:color w:val="000000"/>
          <w:spacing w:val="0"/>
          <w:sz w:val="36"/>
        </w:rPr>
        <w:t>How do I identify and mitigate top AI risks based on use cases?</w:t>
      </w:r>
    </w:p>
    <w:p>
      <w:pPr>
        <w:pStyle w:val="BodyText"/>
        <w:widowControl/>
        <w:bidi w:val="0"/>
        <w:spacing w:lineRule="atLeast" w:line="435" w:before="0" w:after="360"/>
        <w:ind w:hanging="0"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AI reshapes enterprise risk landscapes and transforms operations, necessitating swift adoption of technical and operational controls. Without proactive risk management, organizations face sanctions, immediate financial damage and significant reputational risks.</w:t>
      </w:r>
    </w:p>
    <w:p>
      <w:pPr>
        <w:pStyle w:val="BodyText"/>
        <w:widowControl/>
        <w:bidi w:val="0"/>
        <w:spacing w:lineRule="atLeast" w:line="435" w:before="0" w:after="360"/>
        <w:ind w:hanging="0"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Identifying and mitigating top AI risks based on use cases involves the following steps:</w:t>
      </w:r>
    </w:p>
    <w:p>
      <w:pPr>
        <w:pStyle w:val="BodyText"/>
        <w:widowControl/>
        <w:numPr>
          <w:ilvl w:val="0"/>
          <w:numId w:val="4"/>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Adopt a proactive AI risk management framework:</w:t>
      </w:r>
      <w:r>
        <w:rPr>
          <w:rFonts w:ascii="Graphik;Gartner sans;Helvetica Neue;Helvetica;Arial;sans-serif" w:hAnsi="Graphik;Gartner sans;Helvetica Neue;Helvetica;Arial;sans-serif"/>
          <w:b w:val="false"/>
          <w:i w:val="false"/>
          <w:caps w:val="false"/>
          <w:smallCaps w:val="false"/>
          <w:color w:val="2F3940"/>
          <w:spacing w:val="0"/>
          <w:sz w:val="24"/>
        </w:rPr>
        <w:t> Account for the evolving AI regulations, which demand a framework to prevent harm to people and individuals.</w:t>
      </w:r>
    </w:p>
    <w:p>
      <w:pPr>
        <w:pStyle w:val="BodyText"/>
        <w:widowControl/>
        <w:numPr>
          <w:ilvl w:val="0"/>
          <w:numId w:val="4"/>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Identify key risks:</w:t>
      </w:r>
      <w:r>
        <w:rPr>
          <w:rFonts w:ascii="Graphik;Gartner sans;Helvetica Neue;Helvetica;Arial;sans-serif" w:hAnsi="Graphik;Gartner sans;Helvetica Neue;Helvetica;Arial;sans-serif"/>
          <w:b w:val="false"/>
          <w:i w:val="false"/>
          <w:caps w:val="false"/>
          <w:smallCaps w:val="false"/>
          <w:color w:val="2F3940"/>
          <w:spacing w:val="0"/>
          <w:sz w:val="24"/>
        </w:rPr>
        <w:t> Focus on behavioral risks (accuracy, bias, outdated information), transparency risks (explainability, disclosure), and security and data risks (privacy, misuse).</w:t>
      </w:r>
    </w:p>
    <w:p>
      <w:pPr>
        <w:pStyle w:val="BodyText"/>
        <w:widowControl/>
        <w:numPr>
          <w:ilvl w:val="0"/>
          <w:numId w:val="4"/>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Ensure core principles:</w:t>
      </w:r>
      <w:r>
        <w:rPr>
          <w:rFonts w:ascii="Graphik;Gartner sans;Helvetica Neue;Helvetica;Arial;sans-serif" w:hAnsi="Graphik;Gartner sans;Helvetica Neue;Helvetica;Arial;sans-serif"/>
          <w:b w:val="false"/>
          <w:i w:val="false"/>
          <w:caps w:val="false"/>
          <w:smallCaps w:val="false"/>
          <w:color w:val="2F3940"/>
          <w:spacing w:val="0"/>
          <w:sz w:val="24"/>
        </w:rPr>
        <w:t> Uphold fairness, transparency, explainability, reliability, privacy and security in AI projects.</w:t>
      </w:r>
    </w:p>
    <w:p>
      <w:pPr>
        <w:pStyle w:val="BodyText"/>
        <w:widowControl/>
        <w:numPr>
          <w:ilvl w:val="0"/>
          <w:numId w:val="4"/>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Align AI governance with use cases:</w:t>
      </w:r>
      <w:r>
        <w:rPr>
          <w:rFonts w:ascii="Graphik;Gartner sans;Helvetica Neue;Helvetica;Arial;sans-serif" w:hAnsi="Graphik;Gartner sans;Helvetica Neue;Helvetica;Arial;sans-serif"/>
          <w:b w:val="false"/>
          <w:i w:val="false"/>
          <w:caps w:val="false"/>
          <w:smallCaps w:val="false"/>
          <w:color w:val="2F3940"/>
          <w:spacing w:val="0"/>
          <w:sz w:val="24"/>
        </w:rPr>
        <w:t> Categorize use cases based on cost, complexity, risk, value and competitive impact, tailoring governance levels to each category’s risk profile.</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Tool: Identify and Mitigate Top GenAI Usage Risks</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Tool: Legal and Compliance AI Use Case Risk Assessment</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Applying AI — Governance and Risk Management</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6 Case Studies to Help Navigate Ethical AI Dilemmas</w:t>
      </w:r>
    </w:p>
    <w:p>
      <w:pPr>
        <w:pStyle w:val="BodyText"/>
        <w:widowControl/>
        <w:bidi w:val="0"/>
        <w:spacing w:lineRule="atLeast" w:line="435" w:before="0" w:after="360"/>
        <w:ind w:hanging="0"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Recommendations:</w:t>
      </w:r>
    </w:p>
    <w:p>
      <w:pPr>
        <w:pStyle w:val="BodyText"/>
        <w:widowControl/>
        <w:numPr>
          <w:ilvl w:val="0"/>
          <w:numId w:val="5"/>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Assemble diverse stakeholders to form an AI council under an AI leader for strategic direction.</w:t>
      </w:r>
    </w:p>
    <w:p>
      <w:pPr>
        <w:pStyle w:val="BodyText"/>
        <w:widowControl/>
        <w:numPr>
          <w:ilvl w:val="0"/>
          <w:numId w:val="5"/>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Develop a security framework to protect data and ensure system integrity.</w:t>
      </w:r>
    </w:p>
    <w:p>
      <w:pPr>
        <w:pStyle w:val="BodyText"/>
        <w:widowControl/>
        <w:numPr>
          <w:ilvl w:val="0"/>
          <w:numId w:val="5"/>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Create tailored controls to address unique AI risks and ensure fairness.</w:t>
      </w:r>
    </w:p>
    <w:p>
      <w:pPr>
        <w:pStyle w:val="BodyText"/>
        <w:widowControl/>
        <w:numPr>
          <w:ilvl w:val="0"/>
          <w:numId w:val="5"/>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Integrate security practices throughout the AI life cycle.</w:t>
      </w:r>
    </w:p>
    <w:p>
      <w:pPr>
        <w:pStyle w:val="BodyText"/>
        <w:widowControl/>
        <w:numPr>
          <w:ilvl w:val="0"/>
          <w:numId w:val="5"/>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Use automated tools and regular reviews for continuous security updates.</w:t>
      </w:r>
    </w:p>
    <w:p>
      <w:pPr>
        <w:pStyle w:val="BodyText"/>
        <w:widowControl/>
        <w:numPr>
          <w:ilvl w:val="0"/>
          <w:numId w:val="5"/>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Assign ownership based on expertise to ensure informed decisions.</w:t>
      </w:r>
    </w:p>
    <w:p>
      <w:pPr>
        <w:pStyle w:val="BodyText"/>
        <w:widowControl/>
        <w:numPr>
          <w:ilvl w:val="0"/>
          <w:numId w:val="5"/>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Foster collaboration and knowledge sharing for comprehensive decision making.</w:t>
      </w:r>
    </w:p>
    <w:p>
      <w:pPr>
        <w:pStyle w:val="BodyText"/>
        <w:widowControl/>
        <w:numPr>
          <w:ilvl w:val="0"/>
          <w:numId w:val="5"/>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Implement proactive risk identification and mitigation.</w:t>
      </w:r>
    </w:p>
    <w:p>
      <w:pPr>
        <w:pStyle w:val="BodyText"/>
        <w:widowControl/>
        <w:numPr>
          <w:ilvl w:val="0"/>
          <w:numId w:val="5"/>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Prioritize critical risk areas.</w:t>
      </w:r>
    </w:p>
    <w:p>
      <w:pPr>
        <w:pStyle w:val="BodyText"/>
        <w:widowControl/>
        <w:numPr>
          <w:ilvl w:val="0"/>
          <w:numId w:val="5"/>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Embed transparency and fairness into policies.</w:t>
      </w:r>
    </w:p>
    <w:p>
      <w:pPr>
        <w:pStyle w:val="BodyText"/>
        <w:widowControl/>
        <w:numPr>
          <w:ilvl w:val="0"/>
          <w:numId w:val="5"/>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Customize governance to manage specific use-case risks effectively.</w:t>
      </w:r>
    </w:p>
    <w:p>
      <w:pPr>
        <w:pStyle w:val="BodyText"/>
        <w:widowControl/>
        <w:bidi w:val="0"/>
        <w:spacing w:lineRule="atLeast" w:line="435" w:before="0" w:after="360"/>
        <w:ind w:hanging="0" w:start="0" w:end="0"/>
        <w:jc w:val="start"/>
        <w:rPr/>
      </w:pPr>
      <w:r>
        <w:rPr>
          <w:caps w:val="false"/>
          <w:smallCaps w:val="false"/>
          <w:color w:val="2F3940"/>
          <w:spacing w:val="0"/>
        </w:rPr>
        <w:t>▶ </w:t>
      </w:r>
      <w:r>
        <w:fldChar w:fldCharType="begin"/>
      </w:r>
      <w:r>
        <w:rPr>
          <w:rStyle w:val="Hyperlink"/>
          <w:smallCaps w:val="false"/>
          <w:caps w:val="false"/>
          <w:dstrike w:val="false"/>
          <w:strike w:val="false"/>
          <w:sz w:val="24"/>
          <w:spacing w:val="0"/>
          <w:i w:val="false"/>
          <w:u w:val="none"/>
          <w:b/>
          <w:effect w:val="none"/>
          <w:rFonts w:ascii="Graphik;Gartner sans;Helvetica Neue;Helvetica;Arial;sans-serif" w:hAnsi="Graphik;Gartner sans;Helvetica Neue;Helvetica;Arial;sans-serif"/>
          <w:color w:val="00007F"/>
        </w:rPr>
        <w:instrText xml:space="preserve"> HYPERLINK "https://www.gartner.com/doc/reprints?id=1-2JOPNJW9&amp;ct=241212&amp;st=sb" \l "id.541m2fhqlxe3"</w:instrText>
      </w:r>
      <w:r>
        <w:rPr>
          <w:rStyle w:val="Hyperlink"/>
          <w:smallCaps w:val="false"/>
          <w:caps w:val="false"/>
          <w:dstrike w:val="false"/>
          <w:strike w:val="false"/>
          <w:sz w:val="24"/>
          <w:spacing w:val="0"/>
          <w:i w:val="false"/>
          <w:u w:val="none"/>
          <w:b/>
          <w:effect w:val="none"/>
          <w:rFonts w:ascii="Graphik;Gartner sans;Helvetica Neue;Helvetica;Arial;sans-serif" w:hAnsi="Graphik;Gartner sans;Helvetica Neue;Helvetica;Arial;sans-serif"/>
          <w:color w:val="00007F"/>
        </w:rPr>
        <w:fldChar w:fldCharType="separate"/>
      </w:r>
      <w:r>
        <w:rPr>
          <w:rStyle w:val="Hyperlink"/>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Back to the AI Governance, Trust, Risk and Security Management Journey</w:t>
      </w:r>
      <w:r>
        <w:rPr>
          <w:rStyle w:val="Hyperlink"/>
          <w:smallCaps w:val="false"/>
          <w:caps w:val="false"/>
          <w:dstrike w:val="false"/>
          <w:strike w:val="false"/>
          <w:sz w:val="24"/>
          <w:spacing w:val="0"/>
          <w:i w:val="false"/>
          <w:u w:val="none"/>
          <w:b/>
          <w:effect w:val="none"/>
          <w:rFonts w:ascii="Graphik;Gartner sans;Helvetica Neue;Helvetica;Arial;sans-serif" w:hAnsi="Graphik;Gartner sans;Helvetica Neue;Helvetica;Arial;sans-serif"/>
          <w:color w:val="00007F"/>
        </w:rPr>
        <w:fldChar w:fldCharType="end"/>
      </w:r>
    </w:p>
    <w:p>
      <w:pPr>
        <w:pStyle w:val="Heading3"/>
        <w:widowControl/>
        <w:bidi w:val="0"/>
        <w:spacing w:lineRule="atLeast" w:line="720" w:before="0" w:after="300"/>
        <w:ind w:hanging="0" w:start="0" w:end="0"/>
        <w:jc w:val="start"/>
        <w:rPr>
          <w:rFonts w:ascii="Graphik;Gartner sans;Helvetica Neue;Helvetica;Arial;sans-serif" w:hAnsi="Graphik;Gartner sans;Helvetica Neue;Helvetica;Arial;sans-serif"/>
          <w:b w:val="false"/>
          <w:i w:val="false"/>
          <w:caps w:val="false"/>
          <w:smallCaps w:val="false"/>
          <w:color w:val="000000"/>
          <w:spacing w:val="0"/>
          <w:sz w:val="45"/>
        </w:rPr>
      </w:pPr>
      <w:bookmarkStart w:id="8" w:name="1a8fc68e-ea34-4a48-b92b-3131355616d5"/>
      <w:bookmarkEnd w:id="8"/>
      <w:r>
        <w:rPr>
          <w:rFonts w:ascii="Graphik;Gartner sans;Helvetica Neue;Helvetica;Arial;sans-serif" w:hAnsi="Graphik;Gartner sans;Helvetica Neue;Helvetica;Arial;sans-serif"/>
          <w:b w:val="false"/>
          <w:i w:val="false"/>
          <w:caps w:val="false"/>
          <w:smallCaps w:val="false"/>
          <w:color w:val="000000"/>
          <w:spacing w:val="0"/>
          <w:sz w:val="45"/>
        </w:rPr>
        <w:t>Step 2: Build the Value Case and Gain Executive Buy-In</w:t>
      </w:r>
    </w:p>
    <w:p>
      <w:pPr>
        <w:pStyle w:val="BodyText"/>
        <w:widowControl/>
        <w:bidi w:val="0"/>
        <w:spacing w:lineRule="atLeast" w:line="435" w:before="0" w:after="360"/>
        <w:ind w:hanging="0"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drawing>
          <wp:anchor behindDoc="0" distT="0" distB="76200" distL="0" distR="304800" simplePos="0" locked="0" layoutInCell="0" allowOverlap="1" relativeHeight="3">
            <wp:simplePos x="0" y="0"/>
            <wp:positionH relativeFrom="column">
              <wp:align>left</wp:align>
            </wp:positionH>
            <wp:positionV relativeFrom="line">
              <wp:posOffset>635</wp:posOffset>
            </wp:positionV>
            <wp:extent cx="2642235" cy="2591435"/>
            <wp:effectExtent l="0" t="0" r="0" b="0"/>
            <wp:wrapSquare wrapText="righ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6"/>
                    <a:stretch>
                      <a:fillRect/>
                    </a:stretch>
                  </pic:blipFill>
                  <pic:spPr bwMode="auto">
                    <a:xfrm>
                      <a:off x="0" y="0"/>
                      <a:ext cx="2642235" cy="2591435"/>
                    </a:xfrm>
                    <a:prstGeom prst="rect">
                      <a:avLst/>
                    </a:prstGeom>
                    <a:noFill/>
                  </pic:spPr>
                </pic:pic>
              </a:graphicData>
            </a:graphic>
          </wp:anchor>
        </w:drawing>
      </w:r>
      <w:r>
        <w:rPr>
          <w:rFonts w:ascii="Graphik;Gartner sans;Helvetica Neue;Helvetica;Arial;sans-serif" w:hAnsi="Graphik;Gartner sans;Helvetica Neue;Helvetica;Arial;sans-serif"/>
          <w:b w:val="false"/>
          <w:i w:val="false"/>
          <w:caps w:val="false"/>
          <w:smallCaps w:val="false"/>
          <w:color w:val="2F3940"/>
          <w:spacing w:val="0"/>
          <w:sz w:val="24"/>
        </w:rPr>
        <w:t>Next, build the value case for AI governance and secure executive buy-in.</w:t>
      </w:r>
    </w:p>
    <w:p>
      <w:pPr>
        <w:pStyle w:val="BodyText"/>
        <w:widowControl/>
        <w:bidi w:val="0"/>
        <w:spacing w:lineRule="atLeast" w:line="435" w:before="0" w:after="360"/>
        <w:ind w:hanging="0"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Building the value case involves linking trust to AI value realization and aligning risk mitigation to specific use cases.</w:t>
      </w:r>
    </w:p>
    <w:p>
      <w:pPr>
        <w:pStyle w:val="Heading4"/>
        <w:widowControl/>
        <w:bidi w:val="0"/>
        <w:spacing w:lineRule="atLeast" w:line="570" w:before="0" w:after="120"/>
        <w:ind w:hanging="0" w:start="0" w:end="0"/>
        <w:jc w:val="start"/>
        <w:rPr>
          <w:rFonts w:ascii="Graphik;Gartner sans;Helvetica Neue;Helvetica;Arial;sans-serif" w:hAnsi="Graphik;Gartner sans;Helvetica Neue;Helvetica;Arial;sans-serif"/>
          <w:b/>
          <w:i w:val="false"/>
          <w:caps w:val="false"/>
          <w:smallCaps w:val="false"/>
          <w:color w:val="000000"/>
          <w:spacing w:val="0"/>
          <w:sz w:val="36"/>
        </w:rPr>
      </w:pPr>
      <w:bookmarkStart w:id="9" w:name="kix.kbek86kisgld"/>
      <w:bookmarkEnd w:id="9"/>
      <w:r>
        <w:rPr>
          <w:rFonts w:ascii="Graphik;Gartner sans;Helvetica Neue;Helvetica;Arial;sans-serif" w:hAnsi="Graphik;Gartner sans;Helvetica Neue;Helvetica;Arial;sans-serif"/>
          <w:b/>
          <w:i w:val="false"/>
          <w:caps w:val="false"/>
          <w:smallCaps w:val="false"/>
          <w:color w:val="000000"/>
          <w:spacing w:val="0"/>
          <w:sz w:val="36"/>
        </w:rPr>
        <w:t>How do I discuss AI governance, risk, trust and security-related regulatory imperatives with the executive board?</w:t>
      </w:r>
    </w:p>
    <w:p>
      <w:pPr>
        <w:pStyle w:val="BodyText"/>
        <w:widowControl/>
        <w:bidi w:val="0"/>
        <w:spacing w:lineRule="atLeast" w:line="435" w:before="0" w:after="360"/>
        <w:ind w:hanging="0"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Educating the executive board on evolving AI regulations and the importance of robust governance is crucial for managing risks and ensuring compliance. Without this understanding, organizations risk falling behind regulatory requirements and missing potential financial benefits.</w:t>
      </w:r>
    </w:p>
    <w:p>
      <w:pPr>
        <w:pStyle w:val="BodyText"/>
        <w:widowControl/>
        <w:bidi w:val="0"/>
        <w:spacing w:lineRule="atLeast" w:line="435" w:before="0" w:after="360"/>
        <w:ind w:hanging="0"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Key steps to discuss AI governance, risk, trust and security regulatory imperatives with the executive board include:</w:t>
      </w:r>
    </w:p>
    <w:p>
      <w:pPr>
        <w:pStyle w:val="BodyText"/>
        <w:widowControl/>
        <w:numPr>
          <w:ilvl w:val="0"/>
          <w:numId w:val="6"/>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Educate the board on evolving regulations:</w:t>
      </w:r>
      <w:r>
        <w:rPr>
          <w:rFonts w:ascii="Graphik;Gartner sans;Helvetica Neue;Helvetica;Arial;sans-serif" w:hAnsi="Graphik;Gartner sans;Helvetica Neue;Helvetica;Arial;sans-serif"/>
          <w:b w:val="false"/>
          <w:i w:val="false"/>
          <w:caps w:val="false"/>
          <w:smallCaps w:val="false"/>
          <w:color w:val="2F3940"/>
          <w:spacing w:val="0"/>
          <w:sz w:val="24"/>
        </w:rPr>
        <w:t> Inform board members about the geographic approaches to AI regulation and policy taken by 29 countries across the U.S., European Union and China to ensure that you’re not lagging AI value creation amid these geopolitical and policy shifts.</w:t>
      </w:r>
    </w:p>
    <w:p>
      <w:pPr>
        <w:pStyle w:val="BodyText"/>
        <w:widowControl/>
        <w:numPr>
          <w:ilvl w:val="0"/>
          <w:numId w:val="6"/>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Facilitate compliance strategy discussions:</w:t>
      </w:r>
      <w:r>
        <w:rPr>
          <w:rFonts w:ascii="Graphik;Gartner sans;Helvetica Neue;Helvetica;Arial;sans-serif" w:hAnsi="Graphik;Gartner sans;Helvetica Neue;Helvetica;Arial;sans-serif"/>
          <w:b w:val="false"/>
          <w:i w:val="false"/>
          <w:caps w:val="false"/>
          <w:smallCaps w:val="false"/>
          <w:color w:val="2F3940"/>
          <w:spacing w:val="0"/>
          <w:sz w:val="24"/>
        </w:rPr>
        <w:t> Engage the board in discussions to either develop or revise your compliance strategies.</w:t>
      </w:r>
    </w:p>
    <w:p>
      <w:pPr>
        <w:pStyle w:val="BodyText"/>
        <w:widowControl/>
        <w:numPr>
          <w:ilvl w:val="0"/>
          <w:numId w:val="6"/>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Stress the importance of robust governance:</w:t>
      </w:r>
      <w:r>
        <w:rPr>
          <w:rFonts w:ascii="Graphik;Gartner sans;Helvetica Neue;Helvetica;Arial;sans-serif" w:hAnsi="Graphik;Gartner sans;Helvetica Neue;Helvetica;Arial;sans-serif"/>
          <w:b w:val="false"/>
          <w:i w:val="false"/>
          <w:caps w:val="false"/>
          <w:smallCaps w:val="false"/>
          <w:color w:val="2F3940"/>
          <w:spacing w:val="0"/>
          <w:sz w:val="24"/>
        </w:rPr>
        <w:t> Emphasize the need for a strong AI governance foundation based on common principles to manage risks effectively.</w:t>
      </w:r>
    </w:p>
    <w:p>
      <w:pPr>
        <w:pStyle w:val="BodyText"/>
        <w:widowControl/>
        <w:numPr>
          <w:ilvl w:val="0"/>
          <w:numId w:val="6"/>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Highlight business outcomes:</w:t>
      </w:r>
      <w:r>
        <w:rPr>
          <w:rFonts w:ascii="Graphik;Gartner sans;Helvetica Neue;Helvetica;Arial;sans-serif" w:hAnsi="Graphik;Gartner sans;Helvetica Neue;Helvetica;Arial;sans-serif"/>
          <w:b w:val="false"/>
          <w:i w:val="false"/>
          <w:caps w:val="false"/>
          <w:smallCaps w:val="false"/>
          <w:color w:val="2F3940"/>
          <w:spacing w:val="0"/>
          <w:sz w:val="24"/>
        </w:rPr>
        <w:t> Explain how effective data and AI governance enhances oversight, drives better information asset behaviors, and business outcomes.</w:t>
      </w:r>
    </w:p>
    <w:p>
      <w:pPr>
        <w:pStyle w:val="BodyText"/>
        <w:widowControl/>
        <w:numPr>
          <w:ilvl w:val="0"/>
          <w:numId w:val="6"/>
        </w:numPr>
        <w:pBdr/>
        <w:tabs>
          <w:tab w:val="clear" w:pos="709"/>
          <w:tab w:val="left" w:pos="75" w:leader="none"/>
        </w:tabs>
        <w:bidi w:val="0"/>
        <w:spacing w:lineRule="atLeast" w:line="435" w:before="0" w:after="240"/>
        <w:ind w:hanging="283" w:start="75"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Present financial benefits:</w:t>
      </w:r>
      <w:r>
        <w:rPr>
          <w:rFonts w:ascii="Graphik;Gartner sans;Helvetica Neue;Helvetica;Arial;sans-serif" w:hAnsi="Graphik;Gartner sans;Helvetica Neue;Helvetica;Arial;sans-serif"/>
          <w:b w:val="false"/>
          <w:i w:val="false"/>
          <w:caps w:val="false"/>
          <w:smallCaps w:val="false"/>
          <w:color w:val="2F3940"/>
          <w:spacing w:val="0"/>
          <w:sz w:val="24"/>
        </w:rPr>
        <w:t> Share insights, such as Gartner’s finding that organizations “setting, enforcing and communicating governance strategy” see a 21% boost in financial performance.</w:t>
      </w:r>
      <w:r>
        <w:rPr>
          <w:rFonts w:ascii="Graphik;Gartner sans;Helvetica Neue;Helvetica;Arial;sans-serif" w:hAnsi="Graphik;Gartner sans;Helvetica Neue;Helvetica;Arial;sans-serif"/>
          <w:b w:val="false"/>
          <w:i w:val="false"/>
          <w:caps w:val="false"/>
          <w:smallCaps w:val="false"/>
          <w:color w:val="2F3940"/>
          <w:spacing w:val="0"/>
          <w:sz w:val="17"/>
        </w:rPr>
        <w:t>2</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w:t>
      </w:r>
      <w:r>
        <w:rPr>
          <w:caps w:val="false"/>
          <w:smallCaps w:val="false"/>
          <w:strike w:val="false"/>
          <w:dstrike w:val="false"/>
          <w:color w:val="00007F"/>
          <w:spacing w:val="0"/>
          <w:u w:val="none"/>
          <w:effect w:val="none"/>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2025 Board of Directors Survey: AI, Cybersecurity and Other Tech Drive Shareholder Value</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Board Presentation: Resource Slides on Generative AI</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Getting Ready for the EU AI Act, Phase 1: Discover &amp; Catalog</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Getting Ready for the EU AI Act, Phase 2: Risk-Assess &amp; Categorize</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Getting Ready for the EU AI Act, Phase 3: Managing Third-Party Risks</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Getting Ready for the EU AI Act, Phase 4: Address Deployment Obligations for High-Risk AI Systems</w:t>
      </w:r>
    </w:p>
    <w:p>
      <w:pPr>
        <w:pStyle w:val="Heading4"/>
        <w:widowControl/>
        <w:bidi w:val="0"/>
        <w:spacing w:lineRule="atLeast" w:line="570" w:before="0" w:after="120"/>
        <w:ind w:hanging="0" w:start="0" w:end="0"/>
        <w:jc w:val="start"/>
        <w:rPr>
          <w:rFonts w:ascii="Graphik;Gartner sans;Helvetica Neue;Helvetica;Arial;sans-serif" w:hAnsi="Graphik;Gartner sans;Helvetica Neue;Helvetica;Arial;sans-serif"/>
          <w:b/>
          <w:i w:val="false"/>
          <w:caps w:val="false"/>
          <w:smallCaps w:val="false"/>
          <w:color w:val="000000"/>
          <w:spacing w:val="0"/>
          <w:sz w:val="36"/>
        </w:rPr>
      </w:pPr>
      <w:bookmarkStart w:id="10" w:name="id.gt1f3wbb5gwf"/>
      <w:bookmarkEnd w:id="10"/>
      <w:r>
        <w:rPr>
          <w:rFonts w:ascii="Graphik;Gartner sans;Helvetica Neue;Helvetica;Arial;sans-serif" w:hAnsi="Graphik;Gartner sans;Helvetica Neue;Helvetica;Arial;sans-serif"/>
          <w:b/>
          <w:i w:val="false"/>
          <w:caps w:val="false"/>
          <w:smallCaps w:val="false"/>
          <w:color w:val="000000"/>
          <w:spacing w:val="0"/>
          <w:sz w:val="36"/>
        </w:rPr>
        <w:t>How do I establish an AI board/council, and what are its roles and responsibilities?</w:t>
      </w:r>
    </w:p>
    <w:p>
      <w:pPr>
        <w:pStyle w:val="BodyText"/>
        <w:widowControl/>
        <w:bidi w:val="0"/>
        <w:spacing w:lineRule="atLeast" w:line="435" w:before="0" w:after="360"/>
        <w:ind w:hanging="0"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Enterprises need an AI board, led by an AI leader, to navigate multidisciplinary AI-related challenges, drive value and mitigate risk. Without such a board, organizations may struggle to align AI initiatives with strategic goals and manage associated risks.</w:t>
      </w:r>
    </w:p>
    <w:p>
      <w:pPr>
        <w:pStyle w:val="BodyText"/>
        <w:widowControl/>
        <w:bidi w:val="0"/>
        <w:spacing w:lineRule="atLeast" w:line="435" w:before="0" w:after="360"/>
        <w:ind w:hanging="0"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Establishing an AI board involves several key steps:</w:t>
      </w:r>
    </w:p>
    <w:p>
      <w:pPr>
        <w:pStyle w:val="BodyText"/>
        <w:widowControl/>
        <w:numPr>
          <w:ilvl w:val="0"/>
          <w:numId w:val="7"/>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Define the board’s scope:</w:t>
      </w:r>
      <w:r>
        <w:rPr>
          <w:rFonts w:ascii="Graphik;Gartner sans;Helvetica Neue;Helvetica;Arial;sans-serif" w:hAnsi="Graphik;Gartner sans;Helvetica Neue;Helvetica;Arial;sans-serif"/>
          <w:b w:val="false"/>
          <w:i w:val="false"/>
          <w:caps w:val="false"/>
          <w:smallCaps w:val="false"/>
          <w:color w:val="2F3940"/>
          <w:spacing w:val="0"/>
          <w:sz w:val="24"/>
        </w:rPr>
        <w:t> Align it with C-suite executives’ priorities and enterprise strategy.</w:t>
      </w:r>
    </w:p>
    <w:p>
      <w:pPr>
        <w:pStyle w:val="BodyText"/>
        <w:widowControl/>
        <w:numPr>
          <w:ilvl w:val="0"/>
          <w:numId w:val="7"/>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Select board members:</w:t>
      </w:r>
      <w:r>
        <w:rPr>
          <w:rFonts w:ascii="Graphik;Gartner sans;Helvetica Neue;Helvetica;Arial;sans-serif" w:hAnsi="Graphik;Gartner sans;Helvetica Neue;Helvetica;Arial;sans-serif"/>
          <w:b w:val="false"/>
          <w:i w:val="false"/>
          <w:caps w:val="false"/>
          <w:smallCaps w:val="false"/>
          <w:color w:val="2F3940"/>
          <w:spacing w:val="0"/>
          <w:sz w:val="24"/>
        </w:rPr>
        <w:t> Include members with expertise in business strategy, data and analytics, risk analysis, operational execution, ethics and IT.</w:t>
      </w:r>
    </w:p>
    <w:p>
      <w:pPr>
        <w:pStyle w:val="BodyText"/>
        <w:widowControl/>
        <w:numPr>
          <w:ilvl w:val="0"/>
          <w:numId w:val="7"/>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Synthesize stakeholder priorities:</w:t>
      </w:r>
      <w:r>
        <w:rPr>
          <w:rFonts w:ascii="Graphik;Gartner sans;Helvetica Neue;Helvetica;Arial;sans-serif" w:hAnsi="Graphik;Gartner sans;Helvetica Neue;Helvetica;Arial;sans-serif"/>
          <w:b w:val="false"/>
          <w:i w:val="false"/>
          <w:caps w:val="false"/>
          <w:smallCaps w:val="false"/>
          <w:color w:val="2F3940"/>
          <w:spacing w:val="0"/>
          <w:sz w:val="24"/>
        </w:rPr>
        <w:t> Account for stakeholder priorities and orchestrate business strategies.</w:t>
      </w:r>
    </w:p>
    <w:p>
      <w:pPr>
        <w:pStyle w:val="BodyText"/>
        <w:widowControl/>
        <w:numPr>
          <w:ilvl w:val="0"/>
          <w:numId w:val="7"/>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Manage AI-related risks: </w:t>
      </w:r>
      <w:r>
        <w:rPr>
          <w:rFonts w:ascii="Graphik;Gartner sans;Helvetica Neue;Helvetica;Arial;sans-serif" w:hAnsi="Graphik;Gartner sans;Helvetica Neue;Helvetica;Arial;sans-serif"/>
          <w:b w:val="false"/>
          <w:i w:val="false"/>
          <w:caps w:val="false"/>
          <w:smallCaps w:val="false"/>
          <w:color w:val="2F3940"/>
          <w:spacing w:val="0"/>
          <w:sz w:val="24"/>
        </w:rPr>
        <w:t>Ensure the board manages AI-related risks, aligning them with enterprise goals.</w:t>
      </w:r>
    </w:p>
    <w:p>
      <w:pPr>
        <w:pStyle w:val="BodyText"/>
        <w:widowControl/>
        <w:numPr>
          <w:ilvl w:val="0"/>
          <w:numId w:val="7"/>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Maximize return on investment:</w:t>
      </w:r>
      <w:r>
        <w:rPr>
          <w:rFonts w:ascii="Graphik;Gartner sans;Helvetica Neue;Helvetica;Arial;sans-serif" w:hAnsi="Graphik;Gartner sans;Helvetica Neue;Helvetica;Arial;sans-serif"/>
          <w:b w:val="false"/>
          <w:i w:val="false"/>
          <w:caps w:val="false"/>
          <w:smallCaps w:val="false"/>
          <w:color w:val="2F3940"/>
          <w:spacing w:val="0"/>
          <w:sz w:val="24"/>
        </w:rPr>
        <w:t> Focus on maximizing ROI through strategic alignment and risk management.</w:t>
      </w:r>
    </w:p>
    <w:p>
      <w:pPr>
        <w:pStyle w:val="BodyText"/>
        <w:widowControl/>
        <w:numPr>
          <w:ilvl w:val="0"/>
          <w:numId w:val="7"/>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Appoint an AI leader:</w:t>
      </w:r>
      <w:r>
        <w:rPr>
          <w:rFonts w:ascii="Graphik;Gartner sans;Helvetica Neue;Helvetica;Arial;sans-serif" w:hAnsi="Graphik;Gartner sans;Helvetica Neue;Helvetica;Arial;sans-serif"/>
          <w:b w:val="false"/>
          <w:i w:val="false"/>
          <w:caps w:val="false"/>
          <w:smallCaps w:val="false"/>
          <w:color w:val="2F3940"/>
          <w:spacing w:val="0"/>
          <w:sz w:val="24"/>
        </w:rPr>
        <w:t> Mandate a need for AI leadership that is holistic, integrated, empowered and resourced.</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Quick Answer: How Can D&amp;A Leaders Drive AI Success Through an AI Board?</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Your AI Needs a Boss; Appoint an AI Leader</w:t>
      </w:r>
    </w:p>
    <w:p>
      <w:pPr>
        <w:pStyle w:val="Heading4"/>
        <w:widowControl/>
        <w:bidi w:val="0"/>
        <w:spacing w:lineRule="atLeast" w:line="570" w:before="0" w:after="120"/>
        <w:ind w:hanging="0" w:start="0" w:end="0"/>
        <w:jc w:val="start"/>
        <w:rPr>
          <w:rFonts w:ascii="Graphik;Gartner sans;Helvetica Neue;Helvetica;Arial;sans-serif" w:hAnsi="Graphik;Gartner sans;Helvetica Neue;Helvetica;Arial;sans-serif"/>
          <w:b/>
          <w:i w:val="false"/>
          <w:caps w:val="false"/>
          <w:smallCaps w:val="false"/>
          <w:color w:val="000000"/>
          <w:spacing w:val="0"/>
          <w:sz w:val="36"/>
        </w:rPr>
      </w:pPr>
      <w:bookmarkStart w:id="11" w:name="id.20i1r48kgnqk"/>
      <w:bookmarkEnd w:id="11"/>
      <w:r>
        <w:rPr>
          <w:rFonts w:ascii="Graphik;Gartner sans;Helvetica Neue;Helvetica;Arial;sans-serif" w:hAnsi="Graphik;Gartner sans;Helvetica Neue;Helvetica;Arial;sans-serif"/>
          <w:b/>
          <w:i w:val="false"/>
          <w:caps w:val="false"/>
          <w:smallCaps w:val="false"/>
          <w:color w:val="000000"/>
          <w:spacing w:val="0"/>
          <w:sz w:val="36"/>
        </w:rPr>
        <w:t>How can trust be linked to AI value realization?</w:t>
      </w:r>
    </w:p>
    <w:p>
      <w:pPr>
        <w:pStyle w:val="BodyText"/>
        <w:widowControl/>
        <w:bidi w:val="0"/>
        <w:spacing w:lineRule="atLeast" w:line="435" w:before="0" w:after="360"/>
        <w:ind w:hanging="0"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Organizations must balance D&amp;A and AI value with risk reduction by building strong relationships with legal counsel and enhancing their legal knowledge. Without this balance, organizations risk legal complications and missed opportunities. Key steps include:</w:t>
      </w:r>
    </w:p>
    <w:p>
      <w:pPr>
        <w:pStyle w:val="BodyText"/>
        <w:widowControl/>
        <w:numPr>
          <w:ilvl w:val="0"/>
          <w:numId w:val="8"/>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Establish collaborative relationships with legal counsel:</w:t>
      </w:r>
      <w:r>
        <w:rPr>
          <w:rFonts w:ascii="Graphik;Gartner sans;Helvetica Neue;Helvetica;Arial;sans-serif" w:hAnsi="Graphik;Gartner sans;Helvetica Neue;Helvetica;Arial;sans-serif"/>
          <w:b w:val="false"/>
          <w:i w:val="false"/>
          <w:caps w:val="false"/>
          <w:smallCaps w:val="false"/>
          <w:color w:val="2F3940"/>
          <w:spacing w:val="0"/>
          <w:sz w:val="24"/>
        </w:rPr>
        <w:t> Align business growth with legal guidance to ensure mutual understanding.</w:t>
      </w:r>
    </w:p>
    <w:p>
      <w:pPr>
        <w:pStyle w:val="BodyText"/>
        <w:widowControl/>
        <w:numPr>
          <w:ilvl w:val="0"/>
          <w:numId w:val="8"/>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Enhance legal literacy:</w:t>
      </w:r>
      <w:r>
        <w:rPr>
          <w:rFonts w:ascii="Graphik;Gartner sans;Helvetica Neue;Helvetica;Arial;sans-serif" w:hAnsi="Graphik;Gartner sans;Helvetica Neue;Helvetica;Arial;sans-serif"/>
          <w:b w:val="false"/>
          <w:i w:val="false"/>
          <w:caps w:val="false"/>
          <w:smallCaps w:val="false"/>
          <w:color w:val="2F3940"/>
          <w:spacing w:val="0"/>
          <w:sz w:val="24"/>
        </w:rPr>
        <w:t> Learn key legal concepts and create visual tools that align initiatives with business outcomes while addressing legal risks.</w:t>
      </w:r>
    </w:p>
    <w:p>
      <w:pPr>
        <w:pStyle w:val="BodyText"/>
        <w:widowControl/>
        <w:numPr>
          <w:ilvl w:val="0"/>
          <w:numId w:val="8"/>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Co-develop a comprehensive risk management strategy:</w:t>
      </w:r>
      <w:r>
        <w:rPr>
          <w:rFonts w:ascii="Graphik;Gartner sans;Helvetica Neue;Helvetica;Arial;sans-serif" w:hAnsi="Graphik;Gartner sans;Helvetica Neue;Helvetica;Arial;sans-serif"/>
          <w:b w:val="false"/>
          <w:i w:val="false"/>
          <w:caps w:val="false"/>
          <w:smallCaps w:val="false"/>
          <w:color w:val="2F3940"/>
          <w:spacing w:val="0"/>
          <w:sz w:val="24"/>
        </w:rPr>
        <w:t> Work with legal counsel to differentiate development and usage risks for key executives.</w:t>
      </w:r>
    </w:p>
    <w:p>
      <w:pPr>
        <w:pStyle w:val="BodyText"/>
        <w:widowControl/>
        <w:numPr>
          <w:ilvl w:val="0"/>
          <w:numId w:val="8"/>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Optimize decision making:</w:t>
      </w:r>
      <w:r>
        <w:rPr>
          <w:rFonts w:ascii="Graphik;Gartner sans;Helvetica Neue;Helvetica;Arial;sans-serif" w:hAnsi="Graphik;Gartner sans;Helvetica Neue;Helvetica;Arial;sans-serif"/>
          <w:b w:val="false"/>
          <w:i w:val="false"/>
          <w:caps w:val="false"/>
          <w:smallCaps w:val="false"/>
          <w:color w:val="2F3940"/>
          <w:spacing w:val="0"/>
          <w:sz w:val="24"/>
        </w:rPr>
        <w:t> Leverage legal counsel to avoid overly risk-averse decisions and maximize financial returns from D&amp;A and AI investments.</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Toolkit: Building Trust to Maximize Your AI ROI</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How to Calculate Business Value and Cost for Generative AI Use Cases</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Podcast: The 1 Key to Increasing AI Adoption and Unlocking ROI</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Data Governance and Management Investments Boost Financial Performance</w:t>
      </w:r>
    </w:p>
    <w:p>
      <w:pPr>
        <w:pStyle w:val="BodyText"/>
        <w:widowControl/>
        <w:bidi w:val="0"/>
        <w:spacing w:lineRule="atLeast" w:line="435" w:before="0" w:after="360"/>
        <w:ind w:hanging="0"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Recommendations:</w:t>
      </w:r>
    </w:p>
    <w:p>
      <w:pPr>
        <w:pStyle w:val="BodyText"/>
        <w:widowControl/>
        <w:numPr>
          <w:ilvl w:val="0"/>
          <w:numId w:val="9"/>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Educate the executive board on evolving AI regulations.</w:t>
      </w:r>
    </w:p>
    <w:p>
      <w:pPr>
        <w:pStyle w:val="BodyText"/>
        <w:widowControl/>
        <w:numPr>
          <w:ilvl w:val="0"/>
          <w:numId w:val="9"/>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Facilitate compliance strategy discussions.</w:t>
      </w:r>
    </w:p>
    <w:p>
      <w:pPr>
        <w:pStyle w:val="BodyText"/>
        <w:widowControl/>
        <w:numPr>
          <w:ilvl w:val="0"/>
          <w:numId w:val="9"/>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Stress the importance of robust AI governance.</w:t>
      </w:r>
    </w:p>
    <w:p>
      <w:pPr>
        <w:pStyle w:val="BodyText"/>
        <w:widowControl/>
        <w:numPr>
          <w:ilvl w:val="0"/>
          <w:numId w:val="9"/>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Highlight business outcomes of effective governance.</w:t>
      </w:r>
    </w:p>
    <w:p>
      <w:pPr>
        <w:pStyle w:val="BodyText"/>
        <w:widowControl/>
        <w:numPr>
          <w:ilvl w:val="0"/>
          <w:numId w:val="9"/>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Present financial benefits of improved governance maturity.</w:t>
      </w:r>
    </w:p>
    <w:p>
      <w:pPr>
        <w:pStyle w:val="BodyText"/>
        <w:widowControl/>
        <w:numPr>
          <w:ilvl w:val="0"/>
          <w:numId w:val="9"/>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Define the scope of an AI board.</w:t>
      </w:r>
    </w:p>
    <w:p>
      <w:pPr>
        <w:pStyle w:val="BodyText"/>
        <w:widowControl/>
        <w:numPr>
          <w:ilvl w:val="0"/>
          <w:numId w:val="9"/>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Select diverse members for the AI board.</w:t>
      </w:r>
    </w:p>
    <w:p>
      <w:pPr>
        <w:pStyle w:val="BodyText"/>
        <w:widowControl/>
        <w:numPr>
          <w:ilvl w:val="0"/>
          <w:numId w:val="9"/>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Appoint an AI leader to orchestrate cross-organizational AI efforts.</w:t>
      </w:r>
    </w:p>
    <w:p>
      <w:pPr>
        <w:pStyle w:val="BodyText"/>
        <w:widowControl/>
        <w:numPr>
          <w:ilvl w:val="0"/>
          <w:numId w:val="9"/>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Synthesize stakeholder priorities.</w:t>
      </w:r>
    </w:p>
    <w:p>
      <w:pPr>
        <w:pStyle w:val="BodyText"/>
        <w:widowControl/>
        <w:numPr>
          <w:ilvl w:val="0"/>
          <w:numId w:val="9"/>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Manage AI-related risks.</w:t>
      </w:r>
    </w:p>
    <w:p>
      <w:pPr>
        <w:pStyle w:val="BodyText"/>
        <w:widowControl/>
        <w:numPr>
          <w:ilvl w:val="0"/>
          <w:numId w:val="9"/>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Ensure alignment with enterprise goals to drive value and mitigate risk.</w:t>
      </w:r>
    </w:p>
    <w:p>
      <w:pPr>
        <w:pStyle w:val="BodyText"/>
        <w:widowControl/>
        <w:numPr>
          <w:ilvl w:val="0"/>
          <w:numId w:val="9"/>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Foster strong legal partnerships.</w:t>
      </w:r>
    </w:p>
    <w:p>
      <w:pPr>
        <w:pStyle w:val="BodyText"/>
        <w:widowControl/>
        <w:numPr>
          <w:ilvl w:val="0"/>
          <w:numId w:val="9"/>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Enhance legal literacy within the organization.</w:t>
      </w:r>
    </w:p>
    <w:p>
      <w:pPr>
        <w:pStyle w:val="BodyText"/>
        <w:widowControl/>
        <w:numPr>
          <w:ilvl w:val="0"/>
          <w:numId w:val="9"/>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Co-develop risk management strategies.</w:t>
      </w:r>
    </w:p>
    <w:p>
      <w:pPr>
        <w:pStyle w:val="BodyText"/>
        <w:widowControl/>
        <w:numPr>
          <w:ilvl w:val="0"/>
          <w:numId w:val="9"/>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Optimize decision making to align business growth with legal compliance.</w:t>
      </w:r>
    </w:p>
    <w:p>
      <w:pPr>
        <w:pStyle w:val="BodyText"/>
        <w:widowControl/>
        <w:bidi w:val="0"/>
        <w:spacing w:lineRule="atLeast" w:line="435" w:before="0" w:after="360"/>
        <w:ind w:hanging="0" w:start="0" w:end="0"/>
        <w:jc w:val="start"/>
        <w:rPr/>
      </w:pPr>
      <w:r>
        <w:rPr>
          <w:caps w:val="false"/>
          <w:smallCaps w:val="false"/>
          <w:color w:val="2F3940"/>
          <w:spacing w:val="0"/>
        </w:rPr>
        <w:t>▶ </w:t>
      </w:r>
      <w:r>
        <w:fldChar w:fldCharType="begin"/>
      </w:r>
      <w:r>
        <w:rPr>
          <w:rStyle w:val="Hyperlink"/>
          <w:smallCaps w:val="false"/>
          <w:caps w:val="false"/>
          <w:dstrike w:val="false"/>
          <w:strike w:val="false"/>
          <w:sz w:val="24"/>
          <w:spacing w:val="0"/>
          <w:i w:val="false"/>
          <w:u w:val="none"/>
          <w:b/>
          <w:effect w:val="none"/>
          <w:rFonts w:ascii="Graphik;Gartner sans;Helvetica Neue;Helvetica;Arial;sans-serif" w:hAnsi="Graphik;Gartner sans;Helvetica Neue;Helvetica;Arial;sans-serif"/>
          <w:color w:val="00007F"/>
        </w:rPr>
        <w:instrText xml:space="preserve"> HYPERLINK "https://www.gartner.com/doc/reprints?id=1-2JOPNJW9&amp;ct=241212&amp;st=sb" \l "id.541m2fhqlxe3"</w:instrText>
      </w:r>
      <w:r>
        <w:rPr>
          <w:rStyle w:val="Hyperlink"/>
          <w:smallCaps w:val="false"/>
          <w:caps w:val="false"/>
          <w:dstrike w:val="false"/>
          <w:strike w:val="false"/>
          <w:sz w:val="24"/>
          <w:spacing w:val="0"/>
          <w:i w:val="false"/>
          <w:u w:val="none"/>
          <w:b/>
          <w:effect w:val="none"/>
          <w:rFonts w:ascii="Graphik;Gartner sans;Helvetica Neue;Helvetica;Arial;sans-serif" w:hAnsi="Graphik;Gartner sans;Helvetica Neue;Helvetica;Arial;sans-serif"/>
          <w:color w:val="00007F"/>
        </w:rPr>
        <w:fldChar w:fldCharType="separate"/>
      </w:r>
      <w:r>
        <w:rPr>
          <w:rStyle w:val="Hyperlink"/>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Back to the AI Governance, Trust, Risk and Security Management Journey</w:t>
      </w:r>
      <w:r>
        <w:rPr>
          <w:rStyle w:val="Hyperlink"/>
          <w:smallCaps w:val="false"/>
          <w:caps w:val="false"/>
          <w:dstrike w:val="false"/>
          <w:strike w:val="false"/>
          <w:sz w:val="24"/>
          <w:spacing w:val="0"/>
          <w:i w:val="false"/>
          <w:u w:val="none"/>
          <w:b/>
          <w:effect w:val="none"/>
          <w:rFonts w:ascii="Graphik;Gartner sans;Helvetica Neue;Helvetica;Arial;sans-serif" w:hAnsi="Graphik;Gartner sans;Helvetica Neue;Helvetica;Arial;sans-serif"/>
          <w:color w:val="00007F"/>
        </w:rPr>
        <w:fldChar w:fldCharType="end"/>
      </w:r>
    </w:p>
    <w:p>
      <w:pPr>
        <w:pStyle w:val="Heading3"/>
        <w:widowControl/>
        <w:bidi w:val="0"/>
        <w:spacing w:lineRule="atLeast" w:line="720" w:before="0" w:after="300"/>
        <w:ind w:hanging="0" w:start="0" w:end="0"/>
        <w:jc w:val="start"/>
        <w:rPr>
          <w:rFonts w:ascii="Graphik;Gartner sans;Helvetica Neue;Helvetica;Arial;sans-serif" w:hAnsi="Graphik;Gartner sans;Helvetica Neue;Helvetica;Arial;sans-serif"/>
          <w:b w:val="false"/>
          <w:i w:val="false"/>
          <w:caps w:val="false"/>
          <w:smallCaps w:val="false"/>
          <w:color w:val="000000"/>
          <w:spacing w:val="0"/>
          <w:sz w:val="45"/>
        </w:rPr>
      </w:pPr>
      <w:bookmarkStart w:id="12" w:name="a704da92-f426-449e-b33e-513649f4922e"/>
      <w:bookmarkEnd w:id="12"/>
      <w:r>
        <w:rPr>
          <w:rFonts w:ascii="Graphik;Gartner sans;Helvetica Neue;Helvetica;Arial;sans-serif" w:hAnsi="Graphik;Gartner sans;Helvetica Neue;Helvetica;Arial;sans-serif"/>
          <w:b w:val="false"/>
          <w:i w:val="false"/>
          <w:caps w:val="false"/>
          <w:smallCaps w:val="false"/>
          <w:color w:val="000000"/>
          <w:spacing w:val="0"/>
          <w:sz w:val="45"/>
        </w:rPr>
        <w:t>Step 3: Execute and Implement</w:t>
      </w:r>
    </w:p>
    <w:p>
      <w:pPr>
        <w:pStyle w:val="BodyText"/>
        <w:widowControl/>
        <w:bidi w:val="0"/>
        <w:spacing w:lineRule="atLeast" w:line="435" w:before="0" w:after="360"/>
        <w:ind w:hanging="0"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drawing>
          <wp:anchor behindDoc="0" distT="0" distB="76200" distL="0" distR="304800" simplePos="0" locked="0" layoutInCell="0" allowOverlap="1" relativeHeight="4">
            <wp:simplePos x="0" y="0"/>
            <wp:positionH relativeFrom="column">
              <wp:align>left</wp:align>
            </wp:positionH>
            <wp:positionV relativeFrom="line">
              <wp:posOffset>635</wp:posOffset>
            </wp:positionV>
            <wp:extent cx="2642235" cy="1943100"/>
            <wp:effectExtent l="0" t="0" r="0" b="0"/>
            <wp:wrapSquare wrapText="righ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7"/>
                    <a:stretch>
                      <a:fillRect/>
                    </a:stretch>
                  </pic:blipFill>
                  <pic:spPr bwMode="auto">
                    <a:xfrm>
                      <a:off x="0" y="0"/>
                      <a:ext cx="2642235" cy="1943100"/>
                    </a:xfrm>
                    <a:prstGeom prst="rect">
                      <a:avLst/>
                    </a:prstGeom>
                    <a:noFill/>
                  </pic:spPr>
                </pic:pic>
              </a:graphicData>
            </a:graphic>
          </wp:anchor>
        </w:drawing>
      </w:r>
      <w:r>
        <w:rPr>
          <w:rFonts w:ascii="Graphik;Gartner sans;Helvetica Neue;Helvetica;Arial;sans-serif" w:hAnsi="Graphik;Gartner sans;Helvetica Neue;Helvetica;Arial;sans-serif"/>
          <w:b w:val="false"/>
          <w:i w:val="false"/>
          <w:caps w:val="false"/>
          <w:smallCaps w:val="false"/>
          <w:color w:val="2F3940"/>
          <w:spacing w:val="0"/>
          <w:sz w:val="24"/>
        </w:rPr>
        <w:t>Execution is the third step: designing effective AI governance operation models and security policies, adopting technology approaches to manage risks, and identifying and mitigating top AI risks.</w:t>
      </w:r>
    </w:p>
    <w:p>
      <w:pPr>
        <w:pStyle w:val="Heading4"/>
        <w:widowControl/>
        <w:bidi w:val="0"/>
        <w:spacing w:lineRule="atLeast" w:line="570" w:before="0" w:after="120"/>
        <w:ind w:hanging="0" w:start="0" w:end="0"/>
        <w:jc w:val="start"/>
        <w:rPr>
          <w:rFonts w:ascii="Graphik;Gartner sans;Helvetica Neue;Helvetica;Arial;sans-serif" w:hAnsi="Graphik;Gartner sans;Helvetica Neue;Helvetica;Arial;sans-serif"/>
          <w:b/>
          <w:i w:val="false"/>
          <w:caps w:val="false"/>
          <w:smallCaps w:val="false"/>
          <w:color w:val="000000"/>
          <w:spacing w:val="0"/>
          <w:sz w:val="36"/>
        </w:rPr>
      </w:pPr>
      <w:bookmarkStart w:id="13" w:name="id.3sro0ym08t5e"/>
      <w:bookmarkEnd w:id="13"/>
      <w:r>
        <w:rPr>
          <w:rFonts w:ascii="Graphik;Gartner sans;Helvetica Neue;Helvetica;Arial;sans-serif" w:hAnsi="Graphik;Gartner sans;Helvetica Neue;Helvetica;Arial;sans-serif"/>
          <w:b/>
          <w:i w:val="false"/>
          <w:caps w:val="false"/>
          <w:smallCaps w:val="false"/>
          <w:color w:val="000000"/>
          <w:spacing w:val="0"/>
          <w:sz w:val="36"/>
        </w:rPr>
        <w:t>How do I design an effective AI governance operating model?</w:t>
      </w:r>
    </w:p>
    <w:p>
      <w:pPr>
        <w:pStyle w:val="BodyText"/>
        <w:widowControl/>
        <w:bidi w:val="0"/>
        <w:spacing w:lineRule="atLeast" w:line="435" w:before="0" w:after="360"/>
        <w:ind w:hanging="0"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Integrating AI technologies within organizations necessitates a robust governance operating model to manage risks, accelerate value realization and optimize resources. Organizations risk mismanaging AI initiatives without an effective governance framework, leading to inefficiencies and potential ethical breaches.</w:t>
      </w:r>
    </w:p>
    <w:p>
      <w:pPr>
        <w:pStyle w:val="BodyText"/>
        <w:widowControl/>
        <w:bidi w:val="0"/>
        <w:spacing w:lineRule="atLeast" w:line="435" w:before="0" w:after="360"/>
        <w:ind w:hanging="0"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Designing an effective AI governance operating model involves the following critical steps:</w:t>
      </w:r>
    </w:p>
    <w:p>
      <w:pPr>
        <w:pStyle w:val="BodyText"/>
        <w:widowControl/>
        <w:numPr>
          <w:ilvl w:val="0"/>
          <w:numId w:val="10"/>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Mitigate risks and accelerate value realization:</w:t>
      </w:r>
      <w:r>
        <w:rPr>
          <w:rFonts w:ascii="Graphik;Gartner sans;Helvetica Neue;Helvetica;Arial;sans-serif" w:hAnsi="Graphik;Gartner sans;Helvetica Neue;Helvetica;Arial;sans-serif"/>
          <w:b w:val="false"/>
          <w:i w:val="false"/>
          <w:caps w:val="false"/>
          <w:smallCaps w:val="false"/>
          <w:color w:val="2F3940"/>
          <w:spacing w:val="0"/>
          <w:sz w:val="24"/>
        </w:rPr>
        <w:t> Implement AI governance to balance AI value and risks across the enterprise.</w:t>
      </w:r>
    </w:p>
    <w:p>
      <w:pPr>
        <w:pStyle w:val="BodyText"/>
        <w:widowControl/>
        <w:numPr>
          <w:ilvl w:val="0"/>
          <w:numId w:val="10"/>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Incorporate trust, transparency and diversity:</w:t>
      </w:r>
      <w:r>
        <w:rPr>
          <w:rFonts w:ascii="Graphik;Gartner sans;Helvetica Neue;Helvetica;Arial;sans-serif" w:hAnsi="Graphik;Gartner sans;Helvetica Neue;Helvetica;Arial;sans-serif"/>
          <w:b w:val="false"/>
          <w:i w:val="false"/>
          <w:caps w:val="false"/>
          <w:smallCaps w:val="false"/>
          <w:color w:val="2F3940"/>
          <w:spacing w:val="0"/>
          <w:sz w:val="24"/>
        </w:rPr>
        <w:t> Embed these principles into your AI governance strategy to enhance effectiveness and safety.</w:t>
      </w:r>
    </w:p>
    <w:p>
      <w:pPr>
        <w:pStyle w:val="BodyText"/>
        <w:widowControl/>
        <w:numPr>
          <w:ilvl w:val="0"/>
          <w:numId w:val="10"/>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Prioritize governance for generative AI (GenAI):</w:t>
      </w:r>
      <w:r>
        <w:rPr>
          <w:rFonts w:ascii="Graphik;Gartner sans;Helvetica Neue;Helvetica;Arial;sans-serif" w:hAnsi="Graphik;Gartner sans;Helvetica Neue;Helvetica;Arial;sans-serif"/>
          <w:b w:val="false"/>
          <w:i w:val="false"/>
          <w:caps w:val="false"/>
          <w:smallCaps w:val="false"/>
          <w:color w:val="2F3940"/>
          <w:spacing w:val="0"/>
          <w:sz w:val="24"/>
        </w:rPr>
        <w:t> Focus on GenAI to amplify its positive impact on broader AI initiatives.</w:t>
      </w:r>
    </w:p>
    <w:p>
      <w:pPr>
        <w:pStyle w:val="BodyText"/>
        <w:widowControl/>
        <w:numPr>
          <w:ilvl w:val="0"/>
          <w:numId w:val="10"/>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Adopt and extend Gartner’s D&amp;A governance model:</w:t>
      </w:r>
      <w:r>
        <w:rPr>
          <w:rFonts w:ascii="Graphik;Gartner sans;Helvetica Neue;Helvetica;Arial;sans-serif" w:hAnsi="Graphik;Gartner sans;Helvetica Neue;Helvetica;Arial;sans-serif"/>
          <w:b w:val="false"/>
          <w:i w:val="false"/>
          <w:caps w:val="false"/>
          <w:smallCaps w:val="false"/>
          <w:color w:val="2F3940"/>
          <w:spacing w:val="0"/>
          <w:sz w:val="24"/>
        </w:rPr>
        <w:t> Integrate AI-specific pillars and map them to key AI components based on business priorities and ethics.</w:t>
      </w:r>
    </w:p>
    <w:p>
      <w:pPr>
        <w:pStyle w:val="BodyText"/>
        <w:widowControl/>
        <w:numPr>
          <w:ilvl w:val="0"/>
          <w:numId w:val="10"/>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Establish a specific AI operating model:</w:t>
      </w:r>
      <w:r>
        <w:rPr>
          <w:rFonts w:ascii="Graphik;Gartner sans;Helvetica Neue;Helvetica;Arial;sans-serif" w:hAnsi="Graphik;Gartner sans;Helvetica Neue;Helvetica;Arial;sans-serif"/>
          <w:b w:val="false"/>
          <w:i w:val="false"/>
          <w:caps w:val="false"/>
          <w:smallCaps w:val="false"/>
          <w:color w:val="2F3940"/>
          <w:spacing w:val="0"/>
          <w:sz w:val="24"/>
        </w:rPr>
        <w:t> Embrace the core enterprise business strategy and coordinate with multiple functions to capture, enable and sustain value from AI.</w:t>
      </w:r>
    </w:p>
    <w:p>
      <w:pPr>
        <w:pStyle w:val="BodyText"/>
        <w:widowControl/>
        <w:numPr>
          <w:ilvl w:val="0"/>
          <w:numId w:val="10"/>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Develop an effective policy:</w:t>
      </w:r>
      <w:r>
        <w:rPr>
          <w:rFonts w:ascii="Graphik;Gartner sans;Helvetica Neue;Helvetica;Arial;sans-serif" w:hAnsi="Graphik;Gartner sans;Helvetica Neue;Helvetica;Arial;sans-serif"/>
          <w:b w:val="false"/>
          <w:i w:val="false"/>
          <w:caps w:val="false"/>
          <w:smallCaps w:val="false"/>
          <w:color w:val="2F3940"/>
          <w:spacing w:val="0"/>
          <w:sz w:val="24"/>
        </w:rPr>
        <w:t> Prioritize outlining risk tolerance, use cases, restrictions, decision rights and disclosure obligations when formulating policies.</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How to Design an Effective AI Governance Operating Model</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Developing Generative AI Policy Guidance: 5 Decisions to Make</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Tool: Policy Template for Acceptable Use of Generative AI</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These 6 Elements Form the Foundation of Your AI Operating Model</w:t>
      </w:r>
    </w:p>
    <w:p>
      <w:pPr>
        <w:pStyle w:val="Heading4"/>
        <w:widowControl/>
        <w:bidi w:val="0"/>
        <w:spacing w:lineRule="atLeast" w:line="570" w:before="0" w:after="120"/>
        <w:ind w:hanging="0" w:start="0" w:end="0"/>
        <w:jc w:val="start"/>
        <w:rPr>
          <w:rFonts w:ascii="Graphik;Gartner sans;Helvetica Neue;Helvetica;Arial;sans-serif" w:hAnsi="Graphik;Gartner sans;Helvetica Neue;Helvetica;Arial;sans-serif"/>
          <w:b/>
          <w:i w:val="false"/>
          <w:caps w:val="false"/>
          <w:smallCaps w:val="false"/>
          <w:color w:val="000000"/>
          <w:spacing w:val="0"/>
          <w:sz w:val="36"/>
        </w:rPr>
      </w:pPr>
      <w:bookmarkStart w:id="14" w:name="id.uep0941f00ta"/>
      <w:bookmarkEnd w:id="14"/>
      <w:r>
        <w:rPr>
          <w:rFonts w:ascii="Graphik;Gartner sans;Helvetica Neue;Helvetica;Arial;sans-serif" w:hAnsi="Graphik;Gartner sans;Helvetica Neue;Helvetica;Arial;sans-serif"/>
          <w:b/>
          <w:i w:val="false"/>
          <w:caps w:val="false"/>
          <w:smallCaps w:val="false"/>
          <w:color w:val="000000"/>
          <w:spacing w:val="0"/>
          <w:sz w:val="36"/>
        </w:rPr>
        <w:t>What are the top AI-related security threats and risks, and how do I mitigate them?</w:t>
      </w:r>
    </w:p>
    <w:p>
      <w:pPr>
        <w:pStyle w:val="BodyText"/>
        <w:widowControl/>
        <w:bidi w:val="0"/>
        <w:spacing w:lineRule="atLeast" w:line="435" w:before="0" w:after="360"/>
        <w:ind w:hanging="0"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The rapid adoption of AI technologies exposes organizations to a range of security threats and risks, which, if not properly managed, can lead to significant vulnerabilities and operational disruptions. To mitigate these risks and leverage the benefits of AI, it is essential to design a comprehensive AI trust, risk and security policy. This involves several key steps:</w:t>
      </w:r>
    </w:p>
    <w:p>
      <w:pPr>
        <w:pStyle w:val="BodyText"/>
        <w:widowControl/>
        <w:numPr>
          <w:ilvl w:val="0"/>
          <w:numId w:val="11"/>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Define the policy’s purpose:</w:t>
      </w:r>
      <w:r>
        <w:rPr>
          <w:rFonts w:ascii="Graphik;Gartner sans;Helvetica Neue;Helvetica;Arial;sans-serif" w:hAnsi="Graphik;Gartner sans;Helvetica Neue;Helvetica;Arial;sans-serif"/>
          <w:b w:val="false"/>
          <w:i w:val="false"/>
          <w:caps w:val="false"/>
          <w:smallCaps w:val="false"/>
          <w:color w:val="2F3940"/>
          <w:spacing w:val="0"/>
          <w:sz w:val="24"/>
        </w:rPr>
        <w:t> Articulate the policy’s aim to mitigate risks and maximize AI benefits.</w:t>
      </w:r>
    </w:p>
    <w:p>
      <w:pPr>
        <w:pStyle w:val="BodyText"/>
        <w:widowControl/>
        <w:numPr>
          <w:ilvl w:val="0"/>
          <w:numId w:val="11"/>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Specify the scope and include a glossary:</w:t>
      </w:r>
      <w:r>
        <w:rPr>
          <w:rFonts w:ascii="Graphik;Gartner sans;Helvetica Neue;Helvetica;Arial;sans-serif" w:hAnsi="Graphik;Gartner sans;Helvetica Neue;Helvetica;Arial;sans-serif"/>
          <w:b w:val="false"/>
          <w:i w:val="false"/>
          <w:caps w:val="false"/>
          <w:smallCaps w:val="false"/>
          <w:color w:val="2F3940"/>
          <w:spacing w:val="0"/>
          <w:sz w:val="24"/>
        </w:rPr>
        <w:t> Define the scope of the policy and include a glossary of AI terms to ensure clarity.</w:t>
      </w:r>
    </w:p>
    <w:p>
      <w:pPr>
        <w:pStyle w:val="BodyText"/>
        <w:widowControl/>
        <w:numPr>
          <w:ilvl w:val="0"/>
          <w:numId w:val="11"/>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Develop comprehensive policy statements:</w:t>
      </w:r>
      <w:r>
        <w:rPr>
          <w:rFonts w:ascii="Graphik;Gartner sans;Helvetica Neue;Helvetica;Arial;sans-serif" w:hAnsi="Graphik;Gartner sans;Helvetica Neue;Helvetica;Arial;sans-serif"/>
          <w:b w:val="false"/>
          <w:i w:val="false"/>
          <w:caps w:val="false"/>
          <w:smallCaps w:val="false"/>
          <w:color w:val="2F3940"/>
          <w:spacing w:val="0"/>
          <w:sz w:val="24"/>
        </w:rPr>
        <w:t> Create detailed policy statements for application and data security.</w:t>
      </w:r>
    </w:p>
    <w:p>
      <w:pPr>
        <w:pStyle w:val="BodyText"/>
        <w:widowControl/>
        <w:numPr>
          <w:ilvl w:val="0"/>
          <w:numId w:val="11"/>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Establish an AI advisory board:</w:t>
      </w:r>
      <w:r>
        <w:rPr>
          <w:rFonts w:ascii="Graphik;Gartner sans;Helvetica Neue;Helvetica;Arial;sans-serif" w:hAnsi="Graphik;Gartner sans;Helvetica Neue;Helvetica;Arial;sans-serif"/>
          <w:b w:val="false"/>
          <w:i w:val="false"/>
          <w:caps w:val="false"/>
          <w:smallCaps w:val="false"/>
          <w:color w:val="2F3940"/>
          <w:spacing w:val="0"/>
          <w:sz w:val="24"/>
        </w:rPr>
        <w:t> Form a board with diverse stakeholders to oversee compliance and guide policy implementation.</w:t>
      </w:r>
    </w:p>
    <w:p>
      <w:pPr>
        <w:pStyle w:val="BodyText"/>
        <w:widowControl/>
        <w:numPr>
          <w:ilvl w:val="0"/>
          <w:numId w:val="11"/>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Assign dedicated owners for AI tools:</w:t>
      </w:r>
      <w:r>
        <w:rPr>
          <w:rFonts w:ascii="Graphik;Gartner sans;Helvetica Neue;Helvetica;Arial;sans-serif" w:hAnsi="Graphik;Gartner sans;Helvetica Neue;Helvetica;Arial;sans-serif"/>
          <w:b w:val="false"/>
          <w:i w:val="false"/>
          <w:caps w:val="false"/>
          <w:smallCaps w:val="false"/>
          <w:color w:val="2F3940"/>
          <w:spacing w:val="0"/>
          <w:sz w:val="24"/>
        </w:rPr>
        <w:t> Ensure each AI tool has a dedicated owner responsible for its security and compliance.</w:t>
      </w:r>
    </w:p>
    <w:p>
      <w:pPr>
        <w:pStyle w:val="BodyText"/>
        <w:widowControl/>
        <w:numPr>
          <w:ilvl w:val="0"/>
          <w:numId w:val="11"/>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Require detailed business cases:</w:t>
      </w:r>
      <w:r>
        <w:rPr>
          <w:rFonts w:ascii="Graphik;Gartner sans;Helvetica Neue;Helvetica;Arial;sans-serif" w:hAnsi="Graphik;Gartner sans;Helvetica Neue;Helvetica;Arial;sans-serif"/>
          <w:b w:val="false"/>
          <w:i w:val="false"/>
          <w:caps w:val="false"/>
          <w:smallCaps w:val="false"/>
          <w:color w:val="2F3940"/>
          <w:spacing w:val="0"/>
          <w:sz w:val="24"/>
        </w:rPr>
        <w:t> Mandate comprehensive business cases for the deployment of AI tools.</w:t>
      </w:r>
    </w:p>
    <w:p>
      <w:pPr>
        <w:pStyle w:val="BodyText"/>
        <w:widowControl/>
        <w:numPr>
          <w:ilvl w:val="0"/>
          <w:numId w:val="11"/>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Implement stringent data management protocols:</w:t>
      </w:r>
      <w:r>
        <w:rPr>
          <w:rFonts w:ascii="Graphik;Gartner sans;Helvetica Neue;Helvetica;Arial;sans-serif" w:hAnsi="Graphik;Gartner sans;Helvetica Neue;Helvetica;Arial;sans-serif"/>
          <w:b w:val="false"/>
          <w:i w:val="false"/>
          <w:caps w:val="false"/>
          <w:smallCaps w:val="false"/>
          <w:color w:val="2F3940"/>
          <w:spacing w:val="0"/>
          <w:sz w:val="24"/>
        </w:rPr>
        <w:t> Enforce robust data management practices to safeguard data integrity and confidentiality.</w:t>
      </w:r>
    </w:p>
    <w:p>
      <w:pPr>
        <w:pStyle w:val="BodyText"/>
        <w:widowControl/>
        <w:numPr>
          <w:ilvl w:val="0"/>
          <w:numId w:val="11"/>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Expand cybersecurity controls: </w:t>
      </w:r>
      <w:r>
        <w:rPr>
          <w:rFonts w:ascii="Graphik;Gartner sans;Helvetica Neue;Helvetica;Arial;sans-serif" w:hAnsi="Graphik;Gartner sans;Helvetica Neue;Helvetica;Arial;sans-serif"/>
          <w:b w:val="false"/>
          <w:i w:val="false"/>
          <w:caps w:val="false"/>
          <w:smallCaps w:val="false"/>
          <w:color w:val="2F3940"/>
          <w:spacing w:val="0"/>
          <w:sz w:val="24"/>
        </w:rPr>
        <w:t>Adapt and extend existing cybersecurity controls to address AI-specific risks.</w:t>
      </w:r>
    </w:p>
    <w:p>
      <w:pPr>
        <w:pStyle w:val="BodyText"/>
        <w:widowControl/>
        <w:numPr>
          <w:ilvl w:val="0"/>
          <w:numId w:val="11"/>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Ensure accountability:</w:t>
      </w:r>
      <w:r>
        <w:rPr>
          <w:rFonts w:ascii="Graphik;Gartner sans;Helvetica Neue;Helvetica;Arial;sans-serif" w:hAnsi="Graphik;Gartner sans;Helvetica Neue;Helvetica;Arial;sans-serif"/>
          <w:b w:val="false"/>
          <w:i w:val="false"/>
          <w:caps w:val="false"/>
          <w:smallCaps w:val="false"/>
          <w:color w:val="2F3940"/>
          <w:spacing w:val="0"/>
          <w:sz w:val="24"/>
        </w:rPr>
        <w:t> Define roles, responsibilities and consequences for noncompliance.</w:t>
      </w:r>
    </w:p>
    <w:p>
      <w:pPr>
        <w:pStyle w:val="BodyText"/>
        <w:widowControl/>
        <w:numPr>
          <w:ilvl w:val="0"/>
          <w:numId w:val="11"/>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Maintain a revision history and schedule reviews:</w:t>
      </w:r>
      <w:r>
        <w:rPr>
          <w:rFonts w:ascii="Graphik;Gartner sans;Helvetica Neue;Helvetica;Arial;sans-serif" w:hAnsi="Graphik;Gartner sans;Helvetica Neue;Helvetica;Arial;sans-serif"/>
          <w:b w:val="false"/>
          <w:i w:val="false"/>
          <w:caps w:val="false"/>
          <w:smallCaps w:val="false"/>
          <w:color w:val="2F3940"/>
          <w:spacing w:val="0"/>
          <w:sz w:val="24"/>
        </w:rPr>
        <w:t> Keep the policy current by maintaining a revision history and scheduling regular reviews.</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Tool: Generative AI Security Policy Template</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Generative AI Adoption: Top Security Threats, Risks and Mitigations</w:t>
      </w:r>
    </w:p>
    <w:p>
      <w:pPr>
        <w:pStyle w:val="Heading4"/>
        <w:widowControl/>
        <w:bidi w:val="0"/>
        <w:spacing w:lineRule="atLeast" w:line="570" w:before="0" w:after="120"/>
        <w:ind w:hanging="0" w:start="0" w:end="0"/>
        <w:jc w:val="start"/>
        <w:rPr>
          <w:rFonts w:ascii="Graphik;Gartner sans;Helvetica Neue;Helvetica;Arial;sans-serif" w:hAnsi="Graphik;Gartner sans;Helvetica Neue;Helvetica;Arial;sans-serif"/>
          <w:b/>
          <w:i w:val="false"/>
          <w:caps w:val="false"/>
          <w:smallCaps w:val="false"/>
          <w:color w:val="000000"/>
          <w:spacing w:val="0"/>
          <w:sz w:val="36"/>
        </w:rPr>
      </w:pPr>
      <w:bookmarkStart w:id="15" w:name="id.9onrnnwxw6wx"/>
      <w:bookmarkEnd w:id="15"/>
      <w:r>
        <w:rPr>
          <w:rFonts w:ascii="Graphik;Gartner sans;Helvetica Neue;Helvetica;Arial;sans-serif" w:hAnsi="Graphik;Gartner sans;Helvetica Neue;Helvetica;Arial;sans-serif"/>
          <w:b/>
          <w:i w:val="false"/>
          <w:caps w:val="false"/>
          <w:smallCaps w:val="false"/>
          <w:color w:val="000000"/>
          <w:spacing w:val="0"/>
          <w:sz w:val="36"/>
        </w:rPr>
        <w:t>How do I establish scalable, ethical and responsible AI practices?</w:t>
      </w:r>
    </w:p>
    <w:p>
      <w:pPr>
        <w:pStyle w:val="BodyText"/>
        <w:widowControl/>
        <w:bidi w:val="0"/>
        <w:spacing w:lineRule="atLeast" w:line="435" w:before="0" w:after="360"/>
        <w:ind w:hanging="0"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The increasing deployment of AI technologies brings opportunities and challenges, particularly in ensuring that these systems operate ethically and responsibly. Without scalable practices, organizations risk deploying AI that may cause harm, violate societal values or fail to comply with regulations. Establishing scalable ethical and responsible AI practices requires a comprehensive approach that integrates both operational and moral guidelines, which comprises the following steps:</w:t>
      </w:r>
    </w:p>
    <w:p>
      <w:pPr>
        <w:pStyle w:val="BodyText"/>
        <w:widowControl/>
        <w:numPr>
          <w:ilvl w:val="0"/>
          <w:numId w:val="12"/>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Translate ethical principles into design requirements:</w:t>
      </w:r>
      <w:r>
        <w:rPr>
          <w:rFonts w:ascii="Graphik;Gartner sans;Helvetica Neue;Helvetica;Arial;sans-serif" w:hAnsi="Graphik;Gartner sans;Helvetica Neue;Helvetica;Arial;sans-serif"/>
          <w:b w:val="false"/>
          <w:i w:val="false"/>
          <w:caps w:val="false"/>
          <w:smallCaps w:val="false"/>
          <w:color w:val="2F3940"/>
          <w:spacing w:val="0"/>
          <w:sz w:val="24"/>
        </w:rPr>
        <w:t> Define specific ethics-based user stories and scenarios for testing during AI implementation.</w:t>
      </w:r>
    </w:p>
    <w:p>
      <w:pPr>
        <w:pStyle w:val="BodyText"/>
        <w:widowControl/>
        <w:numPr>
          <w:ilvl w:val="0"/>
          <w:numId w:val="12"/>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Prioritize user stories:</w:t>
      </w:r>
      <w:r>
        <w:rPr>
          <w:rFonts w:ascii="Graphik;Gartner sans;Helvetica Neue;Helvetica;Arial;sans-serif" w:hAnsi="Graphik;Gartner sans;Helvetica Neue;Helvetica;Arial;sans-serif"/>
          <w:b w:val="false"/>
          <w:i w:val="false"/>
          <w:caps w:val="false"/>
          <w:smallCaps w:val="false"/>
          <w:color w:val="2F3940"/>
          <w:spacing w:val="0"/>
          <w:sz w:val="24"/>
        </w:rPr>
        <w:t> Use impact assessments, harm modeling and empathy mapping to prioritize user stories.</w:t>
      </w:r>
    </w:p>
    <w:p>
      <w:pPr>
        <w:pStyle w:val="BodyText"/>
        <w:widowControl/>
        <w:numPr>
          <w:ilvl w:val="0"/>
          <w:numId w:val="12"/>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Increase awareness of data and model risks:</w:t>
      </w:r>
      <w:r>
        <w:rPr>
          <w:rFonts w:ascii="Graphik;Gartner sans;Helvetica Neue;Helvetica;Arial;sans-serif" w:hAnsi="Graphik;Gartner sans;Helvetica Neue;Helvetica;Arial;sans-serif"/>
          <w:b w:val="false"/>
          <w:i w:val="false"/>
          <w:caps w:val="false"/>
          <w:smallCaps w:val="false"/>
          <w:color w:val="2F3940"/>
          <w:spacing w:val="0"/>
          <w:sz w:val="24"/>
        </w:rPr>
        <w:t> Specify known limitations in data and model cards to enhance transparency.</w:t>
      </w:r>
    </w:p>
    <w:p>
      <w:pPr>
        <w:pStyle w:val="BodyText"/>
        <w:widowControl/>
        <w:numPr>
          <w:ilvl w:val="0"/>
          <w:numId w:val="12"/>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Develop emotional intelligence and human-centered design skills:</w:t>
      </w:r>
      <w:r>
        <w:rPr>
          <w:rFonts w:ascii="Graphik;Gartner sans;Helvetica Neue;Helvetica;Arial;sans-serif" w:hAnsi="Graphik;Gartner sans;Helvetica Neue;Helvetica;Arial;sans-serif"/>
          <w:b w:val="false"/>
          <w:i w:val="false"/>
          <w:caps w:val="false"/>
          <w:smallCaps w:val="false"/>
          <w:color w:val="2F3940"/>
          <w:spacing w:val="0"/>
          <w:sz w:val="24"/>
        </w:rPr>
        <w:t> Equip teams with the skills to assess better AI system harms.</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Activate Responsible AI Principles Using Human-Centered Design Techniques</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Podcast: How to Establish Responsible AI Practices for Scalable AI Innovation</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Video: How to Initiate AI Ethics Practices in the Enterprise</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Video: How to Build Trust and Curb Risk in Enterprise AI Deployments</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Applying AI — A Framework for the Enterprise</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TechWave Podcast: Privacy Imperatives in the New Age of Data Wealth</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Case Study: Ethical AI With an External Board (Axon)</w:t>
      </w:r>
    </w:p>
    <w:p>
      <w:pPr>
        <w:pStyle w:val="Heading4"/>
        <w:widowControl/>
        <w:bidi w:val="0"/>
        <w:spacing w:lineRule="atLeast" w:line="570" w:before="0" w:after="120"/>
        <w:ind w:hanging="0" w:start="0" w:end="0"/>
        <w:jc w:val="start"/>
        <w:rPr>
          <w:rFonts w:ascii="Graphik;Gartner sans;Helvetica Neue;Helvetica;Arial;sans-serif" w:hAnsi="Graphik;Gartner sans;Helvetica Neue;Helvetica;Arial;sans-serif"/>
          <w:b/>
          <w:i w:val="false"/>
          <w:caps w:val="false"/>
          <w:smallCaps w:val="false"/>
          <w:color w:val="000000"/>
          <w:spacing w:val="0"/>
          <w:sz w:val="36"/>
        </w:rPr>
      </w:pPr>
      <w:bookmarkStart w:id="16" w:name="id.xk06mi90bxdo"/>
      <w:bookmarkEnd w:id="16"/>
      <w:r>
        <w:rPr>
          <w:rFonts w:ascii="Graphik;Gartner sans;Helvetica Neue;Helvetica;Arial;sans-serif" w:hAnsi="Graphik;Gartner sans;Helvetica Neue;Helvetica;Arial;sans-serif"/>
          <w:b/>
          <w:i w:val="false"/>
          <w:caps w:val="false"/>
          <w:smallCaps w:val="false"/>
          <w:color w:val="000000"/>
          <w:spacing w:val="0"/>
          <w:sz w:val="36"/>
        </w:rPr>
        <w:t>How does D&amp;A governance need to change to support AI?</w:t>
      </w:r>
    </w:p>
    <w:p>
      <w:pPr>
        <w:pStyle w:val="BodyText"/>
        <w:widowControl/>
        <w:bidi w:val="0"/>
        <w:spacing w:lineRule="atLeast" w:line="435" w:before="0" w:after="360"/>
        <w:ind w:hanging="0"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The rapid integration of AI technologies is transformational, but traditional D&amp;A governance frameworks struggle to keep pace. This misalignment can lead to significant complications, including noncompliance with emerging regulations, ethical breaches and inefficiencies that undermine AI initiatives. D&amp;A governance must evolve to effectively support AI by adopting a common framework that integrates AI-specific considerations into its pillars. The five steps listed below help achieve this:</w:t>
      </w:r>
    </w:p>
    <w:p>
      <w:pPr>
        <w:pStyle w:val="BodyText"/>
        <w:widowControl/>
        <w:numPr>
          <w:ilvl w:val="0"/>
          <w:numId w:val="13"/>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Prioritize critical AI use cases:</w:t>
      </w:r>
      <w:r>
        <w:rPr>
          <w:rFonts w:ascii="Graphik;Gartner sans;Helvetica Neue;Helvetica;Arial;sans-serif" w:hAnsi="Graphik;Gartner sans;Helvetica Neue;Helvetica;Arial;sans-serif"/>
          <w:b w:val="false"/>
          <w:i w:val="false"/>
          <w:caps w:val="false"/>
          <w:smallCaps w:val="false"/>
          <w:color w:val="2F3940"/>
          <w:spacing w:val="0"/>
          <w:sz w:val="24"/>
        </w:rPr>
        <w:t> Establish clear accountability across business, technical and ethical dimensions.</w:t>
      </w:r>
    </w:p>
    <w:p>
      <w:pPr>
        <w:pStyle w:val="BodyText"/>
        <w:widowControl/>
        <w:numPr>
          <w:ilvl w:val="0"/>
          <w:numId w:val="13"/>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Balance value and risk:</w:t>
      </w:r>
      <w:r>
        <w:rPr>
          <w:rFonts w:ascii="Graphik;Gartner sans;Helvetica Neue;Helvetica;Arial;sans-serif" w:hAnsi="Graphik;Gartner sans;Helvetica Neue;Helvetica;Arial;sans-serif"/>
          <w:b w:val="false"/>
          <w:i w:val="false"/>
          <w:caps w:val="false"/>
          <w:smallCaps w:val="false"/>
          <w:color w:val="2F3940"/>
          <w:spacing w:val="0"/>
          <w:sz w:val="24"/>
        </w:rPr>
        <w:t> Initiate early discussions to ensure compliance with emerging regulations.</w:t>
      </w:r>
    </w:p>
    <w:p>
      <w:pPr>
        <w:pStyle w:val="BodyText"/>
        <w:widowControl/>
        <w:numPr>
          <w:ilvl w:val="0"/>
          <w:numId w:val="13"/>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Engage diverse stakeholders:</w:t>
      </w:r>
      <w:r>
        <w:rPr>
          <w:rFonts w:ascii="Graphik;Gartner sans;Helvetica Neue;Helvetica;Arial;sans-serif" w:hAnsi="Graphik;Gartner sans;Helvetica Neue;Helvetica;Arial;sans-serif"/>
          <w:b w:val="false"/>
          <w:i w:val="false"/>
          <w:caps w:val="false"/>
          <w:smallCaps w:val="false"/>
          <w:color w:val="2F3940"/>
          <w:spacing w:val="0"/>
          <w:sz w:val="24"/>
        </w:rPr>
        <w:t> Involve various stakeholders in governance decisions and monitor progress to adapt to changing needs.</w:t>
      </w:r>
    </w:p>
    <w:p>
      <w:pPr>
        <w:pStyle w:val="BodyText"/>
        <w:widowControl/>
        <w:numPr>
          <w:ilvl w:val="0"/>
          <w:numId w:val="13"/>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Enhance productivity and user experience:</w:t>
      </w:r>
      <w:r>
        <w:rPr>
          <w:rFonts w:ascii="Graphik;Gartner sans;Helvetica Neue;Helvetica;Arial;sans-serif" w:hAnsi="Graphik;Gartner sans;Helvetica Neue;Helvetica;Arial;sans-serif"/>
          <w:b w:val="false"/>
          <w:i w:val="false"/>
          <w:caps w:val="false"/>
          <w:smallCaps w:val="false"/>
          <w:color w:val="2F3940"/>
          <w:spacing w:val="0"/>
          <w:sz w:val="24"/>
        </w:rPr>
        <w:t> Integrate GenAI capabilities into D&amp;A governance platforms.</w:t>
      </w:r>
    </w:p>
    <w:p>
      <w:pPr>
        <w:pStyle w:val="BodyText"/>
        <w:widowControl/>
        <w:numPr>
          <w:ilvl w:val="0"/>
          <w:numId w:val="13"/>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Implement training and escalation mechanisms:</w:t>
      </w:r>
      <w:r>
        <w:rPr>
          <w:rFonts w:ascii="Graphik;Gartner sans;Helvetica Neue;Helvetica;Arial;sans-serif" w:hAnsi="Graphik;Gartner sans;Helvetica Neue;Helvetica;Arial;sans-serif"/>
          <w:b w:val="false"/>
          <w:i w:val="false"/>
          <w:caps w:val="false"/>
          <w:smallCaps w:val="false"/>
          <w:color w:val="2F3940"/>
          <w:spacing w:val="0"/>
          <w:sz w:val="24"/>
        </w:rPr>
        <w:t> Develop comprehensive training programs and robust escalation mechanisms to equip governance personnel, especially data stewards, with the skills to manage GenAI outputs effectively.</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A Journey Guide to Successful Data and Analytics Governance</w:t>
      </w:r>
    </w:p>
    <w:p>
      <w:pPr>
        <w:pStyle w:val="BodyText"/>
        <w:widowControl/>
        <w:bidi w:val="0"/>
        <w:spacing w:lineRule="atLeast" w:line="435" w:before="0" w:after="360"/>
        <w:ind w:hanging="0" w:start="0" w:end="0"/>
        <w:jc w:val="start"/>
        <w:rPr/>
      </w:pPr>
      <w:r>
        <w:rPr>
          <w:caps w:val="false"/>
          <w:smallCaps w:val="false"/>
          <w:color w:val="2F3940"/>
          <w:spacing w:val="0"/>
        </w:rPr>
        <w:t>▶  </w:t>
      </w:r>
      <w:hyperlink r:id="rId8" w:tgtFrame="_blank">
        <w:r>
          <w:rPr>
            <w:rStyle w:val="Hyperlink"/>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What Should I Know About Data and Analytics Governance?</w:t>
        </w:r>
      </w:hyperlink>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Maturing D&amp;A Governance Is a Catalyst for Business Innovation and AI</w:t>
      </w:r>
    </w:p>
    <w:p>
      <w:pPr>
        <w:pStyle w:val="BodyText"/>
        <w:widowControl/>
        <w:bidi w:val="0"/>
        <w:spacing w:lineRule="atLeast" w:line="435" w:before="0" w:after="360"/>
        <w:ind w:hanging="0" w:start="0" w:end="0"/>
        <w:jc w:val="start"/>
        <w:rPr/>
      </w:pPr>
      <w:r>
        <w:rPr>
          <w:caps w:val="false"/>
          <w:smallCaps w:val="false"/>
          <w:color w:val="2F3940"/>
          <w:spacing w:val="0"/>
        </w:rPr>
        <w:t>▶  </w:t>
      </w:r>
      <w:hyperlink r:id="rId9" w:tgtFrame="_blank">
        <w:r>
          <w:rPr>
            <w:rStyle w:val="Hyperlink"/>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Hype Cycle for Data and Analytics Governance, 2025</w:t>
        </w:r>
      </w:hyperlink>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CDAOs’ 5 Essential Privacy Practices</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D&amp;A Leaders Adopt Different Approaches for GenAI Governance</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5 Critical Shifts D&amp;A Leaders Must Make to Drive Analytics and AI Success</w:t>
      </w:r>
    </w:p>
    <w:p>
      <w:pPr>
        <w:pStyle w:val="BodyText"/>
        <w:widowControl/>
        <w:bidi w:val="0"/>
        <w:spacing w:lineRule="atLeast" w:line="435" w:before="0" w:after="360"/>
        <w:ind w:hanging="0"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Recommendations:</w:t>
      </w:r>
    </w:p>
    <w:p>
      <w:pPr>
        <w:pStyle w:val="BodyText"/>
        <w:widowControl/>
        <w:numPr>
          <w:ilvl w:val="0"/>
          <w:numId w:val="14"/>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Balance risk and value in the AI governance model.</w:t>
      </w:r>
    </w:p>
    <w:p>
      <w:pPr>
        <w:pStyle w:val="BodyText"/>
        <w:widowControl/>
        <w:numPr>
          <w:ilvl w:val="0"/>
          <w:numId w:val="14"/>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Incorporate core principles like trust and transparency.</w:t>
      </w:r>
    </w:p>
    <w:p>
      <w:pPr>
        <w:pStyle w:val="BodyText"/>
        <w:widowControl/>
        <w:numPr>
          <w:ilvl w:val="0"/>
          <w:numId w:val="14"/>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Prioritize generative AI.</w:t>
      </w:r>
    </w:p>
    <w:p>
      <w:pPr>
        <w:pStyle w:val="BodyText"/>
        <w:widowControl/>
        <w:numPr>
          <w:ilvl w:val="0"/>
          <w:numId w:val="14"/>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Extend existing governance frameworks with AI-specific considerations.</w:t>
      </w:r>
    </w:p>
    <w:p>
      <w:pPr>
        <w:pStyle w:val="BodyText"/>
        <w:widowControl/>
        <w:numPr>
          <w:ilvl w:val="0"/>
          <w:numId w:val="14"/>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Define a clear policy purpose for addressing AI-related security threats.</w:t>
      </w:r>
    </w:p>
    <w:p>
      <w:pPr>
        <w:pStyle w:val="BodyText"/>
        <w:widowControl/>
        <w:numPr>
          <w:ilvl w:val="0"/>
          <w:numId w:val="14"/>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Establish comprehensive security measures.</w:t>
      </w:r>
    </w:p>
    <w:p>
      <w:pPr>
        <w:pStyle w:val="BodyText"/>
        <w:widowControl/>
        <w:numPr>
          <w:ilvl w:val="0"/>
          <w:numId w:val="14"/>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Ensure accountability in AI security.</w:t>
      </w:r>
    </w:p>
    <w:p>
      <w:pPr>
        <w:pStyle w:val="BodyText"/>
        <w:widowControl/>
        <w:numPr>
          <w:ilvl w:val="0"/>
          <w:numId w:val="14"/>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Maintain an adaptive and up-to-date policy framework.</w:t>
      </w:r>
    </w:p>
    <w:p>
      <w:pPr>
        <w:pStyle w:val="BodyText"/>
        <w:widowControl/>
        <w:numPr>
          <w:ilvl w:val="0"/>
          <w:numId w:val="14"/>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Translate ethical principles into actionable design requirements.</w:t>
      </w:r>
    </w:p>
    <w:p>
      <w:pPr>
        <w:pStyle w:val="BodyText"/>
        <w:widowControl/>
        <w:numPr>
          <w:ilvl w:val="0"/>
          <w:numId w:val="14"/>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Prioritize ethical requirements through rigorous assessment.</w:t>
      </w:r>
    </w:p>
    <w:p>
      <w:pPr>
        <w:pStyle w:val="BodyText"/>
        <w:widowControl/>
        <w:numPr>
          <w:ilvl w:val="0"/>
          <w:numId w:val="14"/>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Increase transparency around data and model limitations.</w:t>
      </w:r>
    </w:p>
    <w:p>
      <w:pPr>
        <w:pStyle w:val="BodyText"/>
        <w:widowControl/>
        <w:numPr>
          <w:ilvl w:val="0"/>
          <w:numId w:val="14"/>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Foster skills emphasizing emotional intelligence and human-centered design.</w:t>
      </w:r>
    </w:p>
    <w:p>
      <w:pPr>
        <w:pStyle w:val="BodyText"/>
        <w:widowControl/>
        <w:numPr>
          <w:ilvl w:val="0"/>
          <w:numId w:val="14"/>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Prioritize critical use cases in D&amp;A governance.</w:t>
      </w:r>
    </w:p>
    <w:p>
      <w:pPr>
        <w:pStyle w:val="BodyText"/>
        <w:widowControl/>
        <w:numPr>
          <w:ilvl w:val="0"/>
          <w:numId w:val="14"/>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Balance value and risk in AI governance.</w:t>
      </w:r>
    </w:p>
    <w:p>
      <w:pPr>
        <w:pStyle w:val="BodyText"/>
        <w:widowControl/>
        <w:numPr>
          <w:ilvl w:val="0"/>
          <w:numId w:val="14"/>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Engage stakeholders in the governance process.</w:t>
      </w:r>
    </w:p>
    <w:p>
      <w:pPr>
        <w:pStyle w:val="BodyText"/>
        <w:widowControl/>
        <w:numPr>
          <w:ilvl w:val="0"/>
          <w:numId w:val="14"/>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Enhance productivity through effective governance.</w:t>
      </w:r>
    </w:p>
    <w:p>
      <w:pPr>
        <w:pStyle w:val="BodyText"/>
        <w:widowControl/>
        <w:numPr>
          <w:ilvl w:val="0"/>
          <w:numId w:val="14"/>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Equip personnel with necessary AI-related skills.</w:t>
      </w:r>
    </w:p>
    <w:p>
      <w:pPr>
        <w:pStyle w:val="BodyText"/>
        <w:widowControl/>
        <w:numPr>
          <w:ilvl w:val="0"/>
          <w:numId w:val="14"/>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Establish and maintain a specific AI operating model</w:t>
      </w:r>
    </w:p>
    <w:p>
      <w:pPr>
        <w:pStyle w:val="BodyText"/>
        <w:widowControl/>
        <w:bidi w:val="0"/>
        <w:spacing w:lineRule="atLeast" w:line="435" w:before="0" w:after="360"/>
        <w:ind w:hanging="0" w:start="0" w:end="0"/>
        <w:jc w:val="start"/>
        <w:rPr/>
      </w:pPr>
      <w:r>
        <w:rPr>
          <w:caps w:val="false"/>
          <w:smallCaps w:val="false"/>
          <w:color w:val="2F3940"/>
          <w:spacing w:val="0"/>
        </w:rPr>
        <w:t>▶ </w:t>
      </w:r>
      <w:r>
        <w:fldChar w:fldCharType="begin"/>
      </w:r>
      <w:r>
        <w:rPr>
          <w:rStyle w:val="Hyperlink"/>
          <w:smallCaps w:val="false"/>
          <w:caps w:val="false"/>
          <w:dstrike w:val="false"/>
          <w:strike w:val="false"/>
          <w:sz w:val="24"/>
          <w:spacing w:val="0"/>
          <w:i w:val="false"/>
          <w:u w:val="none"/>
          <w:b/>
          <w:effect w:val="none"/>
          <w:rFonts w:ascii="Graphik;Gartner sans;Helvetica Neue;Helvetica;Arial;sans-serif" w:hAnsi="Graphik;Gartner sans;Helvetica Neue;Helvetica;Arial;sans-serif"/>
          <w:color w:val="00007F"/>
        </w:rPr>
        <w:instrText xml:space="preserve"> HYPERLINK "https://www.gartner.com/doc/reprints?id=1-2JOPNJW9&amp;ct=241212&amp;st=sb" \l "id.541m2fhqlxe3"</w:instrText>
      </w:r>
      <w:r>
        <w:rPr>
          <w:rStyle w:val="Hyperlink"/>
          <w:smallCaps w:val="false"/>
          <w:caps w:val="false"/>
          <w:dstrike w:val="false"/>
          <w:strike w:val="false"/>
          <w:sz w:val="24"/>
          <w:spacing w:val="0"/>
          <w:i w:val="false"/>
          <w:u w:val="none"/>
          <w:b/>
          <w:effect w:val="none"/>
          <w:rFonts w:ascii="Graphik;Gartner sans;Helvetica Neue;Helvetica;Arial;sans-serif" w:hAnsi="Graphik;Gartner sans;Helvetica Neue;Helvetica;Arial;sans-serif"/>
          <w:color w:val="00007F"/>
        </w:rPr>
        <w:fldChar w:fldCharType="separate"/>
      </w:r>
      <w:r>
        <w:rPr>
          <w:rStyle w:val="Hyperlink"/>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Back to the AI Governance, Trust, Risk and Security Management Journey</w:t>
      </w:r>
      <w:r>
        <w:rPr>
          <w:rStyle w:val="Hyperlink"/>
          <w:smallCaps w:val="false"/>
          <w:caps w:val="false"/>
          <w:dstrike w:val="false"/>
          <w:strike w:val="false"/>
          <w:sz w:val="24"/>
          <w:spacing w:val="0"/>
          <w:i w:val="false"/>
          <w:u w:val="none"/>
          <w:b/>
          <w:effect w:val="none"/>
          <w:rFonts w:ascii="Graphik;Gartner sans;Helvetica Neue;Helvetica;Arial;sans-serif" w:hAnsi="Graphik;Gartner sans;Helvetica Neue;Helvetica;Arial;sans-serif"/>
          <w:color w:val="00007F"/>
        </w:rPr>
        <w:fldChar w:fldCharType="end"/>
      </w:r>
    </w:p>
    <w:p>
      <w:pPr>
        <w:pStyle w:val="Heading3"/>
        <w:widowControl/>
        <w:bidi w:val="0"/>
        <w:spacing w:lineRule="atLeast" w:line="720" w:before="0" w:after="300"/>
        <w:ind w:hanging="0" w:start="0" w:end="0"/>
        <w:jc w:val="start"/>
        <w:rPr>
          <w:rFonts w:ascii="Graphik;Gartner sans;Helvetica Neue;Helvetica;Arial;sans-serif" w:hAnsi="Graphik;Gartner sans;Helvetica Neue;Helvetica;Arial;sans-serif"/>
          <w:b w:val="false"/>
          <w:i w:val="false"/>
          <w:caps w:val="false"/>
          <w:smallCaps w:val="false"/>
          <w:color w:val="000000"/>
          <w:spacing w:val="0"/>
          <w:sz w:val="45"/>
        </w:rPr>
      </w:pPr>
      <w:bookmarkStart w:id="17" w:name="cede7db8-bd7f-46b1-ac92-528eeebecebe"/>
      <w:bookmarkEnd w:id="17"/>
      <w:r>
        <w:rPr>
          <w:rFonts w:ascii="Graphik;Gartner sans;Helvetica Neue;Helvetica;Arial;sans-serif" w:hAnsi="Graphik;Gartner sans;Helvetica Neue;Helvetica;Arial;sans-serif"/>
          <w:b w:val="false"/>
          <w:i w:val="false"/>
          <w:caps w:val="false"/>
          <w:smallCaps w:val="false"/>
          <w:color w:val="000000"/>
          <w:spacing w:val="0"/>
          <w:sz w:val="45"/>
        </w:rPr>
        <w:t>Step 4: Scale Up and Manage Change</w:t>
      </w:r>
    </w:p>
    <w:p>
      <w:pPr>
        <w:pStyle w:val="BodyText"/>
        <w:widowControl/>
        <w:bidi w:val="0"/>
        <w:spacing w:lineRule="atLeast" w:line="435" w:before="0" w:after="360"/>
        <w:ind w:hanging="0"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drawing>
          <wp:anchor behindDoc="0" distT="0" distB="76200" distL="0" distR="304800" simplePos="0" locked="0" layoutInCell="0" allowOverlap="1" relativeHeight="5">
            <wp:simplePos x="0" y="0"/>
            <wp:positionH relativeFrom="column">
              <wp:align>left</wp:align>
            </wp:positionH>
            <wp:positionV relativeFrom="line">
              <wp:posOffset>635</wp:posOffset>
            </wp:positionV>
            <wp:extent cx="1981200" cy="1362075"/>
            <wp:effectExtent l="0" t="0" r="0" b="0"/>
            <wp:wrapSquare wrapText="righ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0"/>
                    <a:stretch>
                      <a:fillRect/>
                    </a:stretch>
                  </pic:blipFill>
                  <pic:spPr bwMode="auto">
                    <a:xfrm>
                      <a:off x="0" y="0"/>
                      <a:ext cx="1981200" cy="1362075"/>
                    </a:xfrm>
                    <a:prstGeom prst="rect">
                      <a:avLst/>
                    </a:prstGeom>
                    <a:noFill/>
                  </pic:spPr>
                </pic:pic>
              </a:graphicData>
            </a:graphic>
          </wp:anchor>
        </w:drawing>
      </w:r>
      <w:r>
        <w:rPr>
          <w:rFonts w:ascii="Graphik;Gartner sans;Helvetica Neue;Helvetica;Arial;sans-serif" w:hAnsi="Graphik;Gartner sans;Helvetica Neue;Helvetica;Arial;sans-serif"/>
          <w:b w:val="false"/>
          <w:i w:val="false"/>
          <w:caps w:val="false"/>
          <w:smallCaps w:val="false"/>
          <w:color w:val="2F3940"/>
          <w:spacing w:val="0"/>
          <w:sz w:val="24"/>
        </w:rPr>
        <w:t>Finally, scale and realize value by managing AI risk at scale. Prepare for regulatory risks, establish scalable AI ethics and responsible AI practices, and set up an AI council led by an AI leader with defined roles and responsibilities. Additionally, adapt your D&amp;A governance to support AI and leverage AI literacy programs to bolster AI governance.</w:t>
      </w:r>
    </w:p>
    <w:p>
      <w:pPr>
        <w:pStyle w:val="Heading4"/>
        <w:widowControl/>
        <w:bidi w:val="0"/>
        <w:spacing w:lineRule="atLeast" w:line="570" w:before="0" w:after="120"/>
        <w:ind w:hanging="0" w:start="0" w:end="0"/>
        <w:jc w:val="start"/>
        <w:rPr>
          <w:rFonts w:ascii="Graphik;Gartner sans;Helvetica Neue;Helvetica;Arial;sans-serif" w:hAnsi="Graphik;Gartner sans;Helvetica Neue;Helvetica;Arial;sans-serif"/>
          <w:b/>
          <w:i w:val="false"/>
          <w:caps w:val="false"/>
          <w:smallCaps w:val="false"/>
          <w:color w:val="000000"/>
          <w:spacing w:val="0"/>
          <w:sz w:val="36"/>
        </w:rPr>
      </w:pPr>
      <w:bookmarkStart w:id="18" w:name="id.lih3xivizfos"/>
      <w:bookmarkEnd w:id="18"/>
      <w:r>
        <w:rPr>
          <w:rFonts w:ascii="Graphik;Gartner sans;Helvetica Neue;Helvetica;Arial;sans-serif" w:hAnsi="Graphik;Gartner sans;Helvetica Neue;Helvetica;Arial;sans-serif"/>
          <w:b/>
          <w:i w:val="false"/>
          <w:caps w:val="false"/>
          <w:smallCaps w:val="false"/>
          <w:color w:val="000000"/>
          <w:spacing w:val="0"/>
          <w:sz w:val="36"/>
        </w:rPr>
        <w:t>What technology approaches, practices and tools are emerging to manage AI risks?</w:t>
      </w:r>
    </w:p>
    <w:p>
      <w:pPr>
        <w:pStyle w:val="BodyText"/>
        <w:widowControl/>
        <w:bidi w:val="0"/>
        <w:spacing w:lineRule="atLeast" w:line="435" w:before="0" w:after="360"/>
        <w:ind w:hanging="0"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Organizations are increasingly adopting AI technologies, but with this adoption comes the challenge of managing associated risks effectively. Without a structured approach to managing AI risks, organizations may face issues such as ethical breaches, security vulnerabilities and misaligned AI initiatives that could undermine the overall success of their AI strategies.</w:t>
      </w:r>
    </w:p>
    <w:p>
      <w:pPr>
        <w:pStyle w:val="BodyText"/>
        <w:widowControl/>
        <w:bidi w:val="0"/>
        <w:spacing w:lineRule="atLeast" w:line="435" w:before="0" w:after="360"/>
        <w:ind w:hanging="0"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To manage AI risks effectively, organizations should take a multifaceted approach:</w:t>
      </w:r>
    </w:p>
    <w:p>
      <w:pPr>
        <w:pStyle w:val="BodyText"/>
        <w:widowControl/>
        <w:numPr>
          <w:ilvl w:val="0"/>
          <w:numId w:val="15"/>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Strategic alignment and vision:</w:t>
      </w:r>
      <w:r>
        <w:rPr>
          <w:rFonts w:ascii="Graphik;Gartner sans;Helvetica Neue;Helvetica;Arial;sans-serif" w:hAnsi="Graphik;Gartner sans;Helvetica Neue;Helvetica;Arial;sans-serif"/>
          <w:b w:val="false"/>
          <w:i w:val="false"/>
          <w:caps w:val="false"/>
          <w:smallCaps w:val="false"/>
          <w:color w:val="2F3940"/>
          <w:spacing w:val="0"/>
          <w:sz w:val="24"/>
        </w:rPr>
        <w:t> Begin by understanding your strategic context and defining your AI vision and success measures.</w:t>
      </w:r>
    </w:p>
    <w:p>
      <w:pPr>
        <w:pStyle w:val="BodyText"/>
        <w:widowControl/>
        <w:numPr>
          <w:ilvl w:val="0"/>
          <w:numId w:val="15"/>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Governance and principles:</w:t>
      </w:r>
      <w:r>
        <w:rPr>
          <w:rFonts w:ascii="Graphik;Gartner sans;Helvetica Neue;Helvetica;Arial;sans-serif" w:hAnsi="Graphik;Gartner sans;Helvetica Neue;Helvetica;Arial;sans-serif"/>
          <w:b w:val="false"/>
          <w:i w:val="false"/>
          <w:caps w:val="false"/>
          <w:smallCaps w:val="false"/>
          <w:color w:val="2F3940"/>
          <w:spacing w:val="0"/>
          <w:sz w:val="24"/>
        </w:rPr>
        <w:t> Establish AI principles and governance frameworks to ensure alignment between business and AI capabilities.</w:t>
      </w:r>
    </w:p>
    <w:p>
      <w:pPr>
        <w:pStyle w:val="BodyText"/>
        <w:widowControl/>
        <w:numPr>
          <w:ilvl w:val="0"/>
          <w:numId w:val="15"/>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Technology reference model (TRM):</w:t>
      </w:r>
      <w:r>
        <w:rPr>
          <w:rFonts w:ascii="Graphik;Gartner sans;Helvetica Neue;Helvetica;Arial;sans-serif" w:hAnsi="Graphik;Gartner sans;Helvetica Neue;Helvetica;Arial;sans-serif"/>
          <w:b w:val="false"/>
          <w:i w:val="false"/>
          <w:caps w:val="false"/>
          <w:smallCaps w:val="false"/>
          <w:color w:val="2F3940"/>
          <w:spacing w:val="0"/>
          <w:sz w:val="24"/>
        </w:rPr>
        <w:t> Build an AI TRM to guide the deployment and integration of AI technologies.</w:t>
      </w:r>
    </w:p>
    <w:p>
      <w:pPr>
        <w:pStyle w:val="BodyText"/>
        <w:widowControl/>
        <w:numPr>
          <w:ilvl w:val="0"/>
          <w:numId w:val="15"/>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Capability roadmap: </w:t>
      </w:r>
      <w:r>
        <w:rPr>
          <w:rFonts w:ascii="Graphik;Gartner sans;Helvetica Neue;Helvetica;Arial;sans-serif" w:hAnsi="Graphik;Gartner sans;Helvetica Neue;Helvetica;Arial;sans-serif"/>
          <w:b w:val="false"/>
          <w:i w:val="false"/>
          <w:caps w:val="false"/>
          <w:smallCaps w:val="false"/>
          <w:color w:val="2F3940"/>
          <w:spacing w:val="0"/>
          <w:sz w:val="24"/>
        </w:rPr>
        <w:t>Design a tailored AI capability roadmap to outline the steps needed to achieve your AI vision.</w:t>
      </w:r>
    </w:p>
    <w:p>
      <w:pPr>
        <w:pStyle w:val="BodyText"/>
        <w:widowControl/>
        <w:numPr>
          <w:ilvl w:val="0"/>
          <w:numId w:val="15"/>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Ethical standards:</w:t>
      </w:r>
      <w:r>
        <w:rPr>
          <w:rFonts w:ascii="Graphik;Gartner sans;Helvetica Neue;Helvetica;Arial;sans-serif" w:hAnsi="Graphik;Gartner sans;Helvetica Neue;Helvetica;Arial;sans-serif"/>
          <w:b w:val="false"/>
          <w:i w:val="false"/>
          <w:caps w:val="false"/>
          <w:smallCaps w:val="false"/>
          <w:color w:val="2F3940"/>
          <w:spacing w:val="0"/>
          <w:sz w:val="24"/>
        </w:rPr>
        <w:t> Set responsible and ethical standards to guide AI development and deployment.</w:t>
      </w:r>
    </w:p>
    <w:p>
      <w:pPr>
        <w:pStyle w:val="BodyText"/>
        <w:widowControl/>
        <w:bidi w:val="0"/>
        <w:spacing w:lineRule="atLeast" w:line="435" w:before="0" w:after="360"/>
        <w:ind w:hanging="0"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In addition, enforce these principles and frameworks:</w:t>
      </w:r>
    </w:p>
    <w:p>
      <w:pPr>
        <w:pStyle w:val="BodyText"/>
        <w:widowControl/>
        <w:numPr>
          <w:ilvl w:val="0"/>
          <w:numId w:val="16"/>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Tech stack implementation:</w:t>
      </w:r>
      <w:r>
        <w:rPr>
          <w:rFonts w:ascii="Graphik;Gartner sans;Helvetica Neue;Helvetica;Arial;sans-serif" w:hAnsi="Graphik;Gartner sans;Helvetica Neue;Helvetica;Arial;sans-serif"/>
          <w:b w:val="false"/>
          <w:i w:val="false"/>
          <w:caps w:val="false"/>
          <w:smallCaps w:val="false"/>
          <w:color w:val="2F3940"/>
          <w:spacing w:val="0"/>
          <w:sz w:val="24"/>
        </w:rPr>
        <w:t> Deploy the necessary technology stack to support AI initiatives.</w:t>
      </w:r>
    </w:p>
    <w:p>
      <w:pPr>
        <w:pStyle w:val="BodyText"/>
        <w:widowControl/>
        <w:numPr>
          <w:ilvl w:val="0"/>
          <w:numId w:val="16"/>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AI TRiSM:</w:t>
      </w:r>
      <w:r>
        <w:rPr>
          <w:rFonts w:ascii="Graphik;Gartner sans;Helvetica Neue;Helvetica;Arial;sans-serif" w:hAnsi="Graphik;Gartner sans;Helvetica Neue;Helvetica;Arial;sans-serif"/>
          <w:b w:val="false"/>
          <w:i w:val="false"/>
          <w:caps w:val="false"/>
          <w:smallCaps w:val="false"/>
          <w:color w:val="2F3940"/>
          <w:spacing w:val="0"/>
          <w:sz w:val="24"/>
        </w:rPr>
        <w:t> Implement AI TRiSM technology to enforce enterprise AI policies.</w:t>
      </w:r>
    </w:p>
    <w:p>
      <w:pPr>
        <w:pStyle w:val="BodyText"/>
        <w:widowControl/>
        <w:numPr>
          <w:ilvl w:val="0"/>
          <w:numId w:val="16"/>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Decision-making framework:</w:t>
      </w:r>
      <w:r>
        <w:rPr>
          <w:rFonts w:ascii="Graphik;Gartner sans;Helvetica Neue;Helvetica;Arial;sans-serif" w:hAnsi="Graphik;Gartner sans;Helvetica Neue;Helvetica;Arial;sans-serif"/>
          <w:b w:val="false"/>
          <w:i w:val="false"/>
          <w:caps w:val="false"/>
          <w:smallCaps w:val="false"/>
          <w:color w:val="2F3940"/>
          <w:spacing w:val="0"/>
          <w:sz w:val="24"/>
        </w:rPr>
        <w:t> Use Gartner’s five-phase approach to create an AI decision tree, guiding stakeholders through consistent and informed decision making.</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A Checklist for Managing Risk Across Six Pillars of AI Governance</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Use TRiSM to Manage AI Governance, Trust, Risk and Security</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Tool: Documenting AI Reference Architectures</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Use Model Guardrails to Regulate Generative AI Output and Behavior</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Tool: Generative AI Security Policy Template</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Getting Ready for the EU AI Act, Phase 3: Managing Third-Party Risks</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A Simple Foundation for AI TRiSM Product Success</w:t>
      </w:r>
    </w:p>
    <w:p>
      <w:pPr>
        <w:pStyle w:val="Heading4"/>
        <w:widowControl/>
        <w:bidi w:val="0"/>
        <w:spacing w:lineRule="atLeast" w:line="570" w:before="0" w:after="120"/>
        <w:ind w:hanging="0" w:start="0" w:end="0"/>
        <w:jc w:val="start"/>
        <w:rPr>
          <w:rFonts w:ascii="Graphik;Gartner sans;Helvetica Neue;Helvetica;Arial;sans-serif" w:hAnsi="Graphik;Gartner sans;Helvetica Neue;Helvetica;Arial;sans-serif"/>
          <w:b/>
          <w:i w:val="false"/>
          <w:caps w:val="false"/>
          <w:smallCaps w:val="false"/>
          <w:color w:val="000000"/>
          <w:spacing w:val="0"/>
          <w:sz w:val="36"/>
        </w:rPr>
      </w:pPr>
      <w:bookmarkStart w:id="19" w:name="id.tmxm926zstxj"/>
      <w:bookmarkEnd w:id="19"/>
      <w:r>
        <w:rPr>
          <w:rFonts w:ascii="Graphik;Gartner sans;Helvetica Neue;Helvetica;Arial;sans-serif" w:hAnsi="Graphik;Gartner sans;Helvetica Neue;Helvetica;Arial;sans-serif"/>
          <w:b/>
          <w:i w:val="false"/>
          <w:caps w:val="false"/>
          <w:smallCaps w:val="false"/>
          <w:color w:val="000000"/>
          <w:spacing w:val="0"/>
          <w:sz w:val="36"/>
        </w:rPr>
        <w:t>How can AI literacy programs be used to support AI governance?</w:t>
      </w:r>
    </w:p>
    <w:p>
      <w:pPr>
        <w:pStyle w:val="BodyText"/>
        <w:widowControl/>
        <w:bidi w:val="0"/>
        <w:spacing w:lineRule="atLeast" w:line="435" w:before="0" w:after="360"/>
        <w:ind w:hanging="0"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Leveraging AI literacy programs to educate and train stakeholders on AI fundamentals, benefits, risks and the importance of responsible and ethical use is essential for robust AI governance. Without such programs, organizations risk misinformed use of AI systems, leading to potential ethical and operational issues. Key steps include:</w:t>
      </w:r>
    </w:p>
    <w:p>
      <w:pPr>
        <w:pStyle w:val="BodyText"/>
        <w:widowControl/>
        <w:numPr>
          <w:ilvl w:val="0"/>
          <w:numId w:val="17"/>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Introduce AI literacy programs:</w:t>
      </w:r>
      <w:r>
        <w:rPr>
          <w:rFonts w:ascii="Graphik;Gartner sans;Helvetica Neue;Helvetica;Arial;sans-serif" w:hAnsi="Graphik;Gartner sans;Helvetica Neue;Helvetica;Arial;sans-serif"/>
          <w:b w:val="false"/>
          <w:i w:val="false"/>
          <w:caps w:val="false"/>
          <w:smallCaps w:val="false"/>
          <w:color w:val="2F3940"/>
          <w:spacing w:val="0"/>
          <w:sz w:val="24"/>
        </w:rPr>
        <w:t> Educate stakeholders on AI fundamentals, benefits, risks, and the importance of responsible and ethical use.</w:t>
      </w:r>
    </w:p>
    <w:p>
      <w:pPr>
        <w:pStyle w:val="BodyText"/>
        <w:widowControl/>
        <w:numPr>
          <w:ilvl w:val="0"/>
          <w:numId w:val="17"/>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Comply with regulatory requirements:</w:t>
      </w:r>
      <w:r>
        <w:rPr>
          <w:rFonts w:ascii="Graphik;Gartner sans;Helvetica Neue;Helvetica;Arial;sans-serif" w:hAnsi="Graphik;Gartner sans;Helvetica Neue;Helvetica;Arial;sans-serif"/>
          <w:b w:val="false"/>
          <w:i w:val="false"/>
          <w:caps w:val="false"/>
          <w:smallCaps w:val="false"/>
          <w:color w:val="2F3940"/>
          <w:spacing w:val="0"/>
          <w:sz w:val="24"/>
        </w:rPr>
        <w:t> Address Article 4 of the EU AI Act, which mandates AI literacy given users’ ability to instruct AI systems conversationally.</w:t>
      </w:r>
    </w:p>
    <w:p>
      <w:pPr>
        <w:pStyle w:val="BodyText"/>
        <w:widowControl/>
        <w:numPr>
          <w:ilvl w:val="0"/>
          <w:numId w:val="17"/>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Introduce the AI governance framework:</w:t>
      </w:r>
      <w:r>
        <w:rPr>
          <w:rFonts w:ascii="Graphik;Gartner sans;Helvetica Neue;Helvetica;Arial;sans-serif" w:hAnsi="Graphik;Gartner sans;Helvetica Neue;Helvetica;Arial;sans-serif"/>
          <w:b w:val="false"/>
          <w:i w:val="false"/>
          <w:caps w:val="false"/>
          <w:smallCaps w:val="false"/>
          <w:color w:val="2F3940"/>
          <w:spacing w:val="0"/>
          <w:sz w:val="24"/>
        </w:rPr>
        <w:t> Detail personas based on roles and responsibilities and provide training on AI-specific technology and data policies, such as data security, bias mitigation and model accuracy.</w:t>
      </w:r>
    </w:p>
    <w:p>
      <w:pPr>
        <w:pStyle w:val="BodyText"/>
        <w:widowControl/>
        <w:numPr>
          <w:ilvl w:val="0"/>
          <w:numId w:val="17"/>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Use hands-on workshops and case studies:</w:t>
      </w:r>
      <w:r>
        <w:rPr>
          <w:rFonts w:ascii="Graphik;Gartner sans;Helvetica Neue;Helvetica;Arial;sans-serif" w:hAnsi="Graphik;Gartner sans;Helvetica Neue;Helvetica;Arial;sans-serif"/>
          <w:b w:val="false"/>
          <w:i w:val="false"/>
          <w:caps w:val="false"/>
          <w:smallCaps w:val="false"/>
          <w:color w:val="2F3940"/>
          <w:spacing w:val="0"/>
          <w:sz w:val="24"/>
        </w:rPr>
        <w:t> Demonstrate practical applications through interactive sessions.</w:t>
      </w:r>
    </w:p>
    <w:p>
      <w:pPr>
        <w:pStyle w:val="BodyText"/>
        <w:widowControl/>
        <w:numPr>
          <w:ilvl w:val="0"/>
          <w:numId w:val="17"/>
        </w:numPr>
        <w:pBdr/>
        <w:tabs>
          <w:tab w:val="clear" w:pos="709"/>
          <w:tab w:val="left" w:pos="0" w:leader="none"/>
        </w:tabs>
        <w:bidi w:val="0"/>
        <w:spacing w:lineRule="atLeast" w:line="435" w:before="0" w:after="240"/>
        <w:ind w:hanging="283"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Establish ongoing initiatives:</w:t>
      </w:r>
      <w:r>
        <w:rPr>
          <w:rFonts w:ascii="Graphik;Gartner sans;Helvetica Neue;Helvetica;Arial;sans-serif" w:hAnsi="Graphik;Gartner sans;Helvetica Neue;Helvetica;Arial;sans-serif"/>
          <w:b w:val="false"/>
          <w:i w:val="false"/>
          <w:caps w:val="false"/>
          <w:smallCaps w:val="false"/>
          <w:color w:val="2F3940"/>
          <w:spacing w:val="0"/>
          <w:sz w:val="24"/>
        </w:rPr>
        <w:t> Keep stakeholders updated on AI advancements and regulatory changes through continuous education efforts.</w:t>
      </w:r>
    </w:p>
    <w:p>
      <w:pPr>
        <w:pStyle w:val="BodyText"/>
        <w:widowControl/>
        <w:bidi w:val="0"/>
        <w:spacing w:lineRule="atLeast" w:line="435" w:before="0" w:after="360"/>
        <w:ind w:hanging="0" w:start="0" w:end="0"/>
        <w:jc w:val="start"/>
        <w:rPr/>
      </w:pPr>
      <w:r>
        <w:rPr>
          <w:caps w:val="false"/>
          <w:smallCaps w:val="false"/>
          <w:color w:val="2F3940"/>
          <w:spacing w:val="0"/>
        </w:rPr>
        <w:t>▶</w:t>
      </w:r>
      <w:r>
        <w:rPr>
          <w:rStyle w:val="Strong"/>
          <w:caps w:val="false"/>
          <w:smallCaps w:val="false"/>
          <w:strike w:val="false"/>
          <w:dstrike w:val="false"/>
          <w:color w:val="00007F"/>
          <w:spacing w:val="0"/>
          <w:u w:val="none"/>
          <w:effect w:val="none"/>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AI Literacy: Regulatory Mandate With Serious Business Implications</w:t>
      </w:r>
    </w:p>
    <w:p>
      <w:pPr>
        <w:pStyle w:val="BodyText"/>
        <w:widowControl/>
        <w:bidi w:val="0"/>
        <w:spacing w:lineRule="atLeast" w:line="435" w:before="0" w:after="360"/>
        <w:ind w:hanging="0" w:start="0" w:end="0"/>
        <w:jc w:val="start"/>
        <w:rPr/>
      </w:pPr>
      <w:r>
        <w:rPr>
          <w:caps w:val="false"/>
          <w:smallCaps w:val="false"/>
          <w:color w:val="2F3940"/>
          <w:spacing w:val="0"/>
        </w:rPr>
        <w:t>▶</w:t>
      </w:r>
      <w:r>
        <w:rPr>
          <w:rStyle w:val="Strong"/>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Tool: Policy Template for Acceptable Use of Generative AI</w:t>
      </w:r>
    </w:p>
    <w:p>
      <w:pPr>
        <w:pStyle w:val="BodyText"/>
        <w:widowControl/>
        <w:bidi w:val="0"/>
        <w:spacing w:lineRule="atLeast" w:line="435" w:before="0" w:after="360"/>
        <w:ind w:hanging="0" w:start="0" w:end="0"/>
        <w:jc w:val="start"/>
        <w:rPr/>
      </w:pPr>
      <w:r>
        <w:rPr>
          <w:caps w:val="false"/>
          <w:smallCaps w:val="false"/>
          <w:color w:val="2F3940"/>
          <w:spacing w:val="0"/>
        </w:rPr>
        <w:t>▶</w:t>
      </w:r>
      <w:r>
        <w:rPr>
          <w:rStyle w:val="Strong"/>
          <w:caps w:val="false"/>
          <w:smallCaps w:val="false"/>
          <w:strike w:val="false"/>
          <w:dstrike w:val="false"/>
          <w:color w:val="00007F"/>
          <w:spacing w:val="0"/>
          <w:u w:val="none"/>
          <w:effect w:val="none"/>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Tool: Executive Education Playbook for Data and AI Literacy</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Adopt 5 Key Privacy Lessons When Preparing for AI Regulations</w:t>
      </w:r>
    </w:p>
    <w:p>
      <w:pPr>
        <w:pStyle w:val="BodyText"/>
        <w:widowControl/>
        <w:bidi w:val="0"/>
        <w:spacing w:lineRule="atLeast" w:line="435" w:before="0" w:after="360"/>
        <w:ind w:hanging="0" w:start="0" w:end="0"/>
        <w:jc w:val="start"/>
        <w:rPr/>
      </w:pPr>
      <w:r>
        <w:rPr>
          <w:caps w:val="false"/>
          <w:smallCaps w:val="false"/>
          <w:color w:val="2F3940"/>
          <w:spacing w:val="0"/>
        </w:rPr>
        <w:t>▶</w:t>
      </w:r>
      <w:r>
        <w:rPr>
          <w:rStyle w:val="Strong"/>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Tool: Employee Generative AI Risk and Compliance Training Deck</w:t>
      </w:r>
    </w:p>
    <w:p>
      <w:pPr>
        <w:pStyle w:val="BodyText"/>
        <w:widowControl/>
        <w:bidi w:val="0"/>
        <w:spacing w:lineRule="atLeast" w:line="435" w:before="0" w:after="360"/>
        <w:ind w:hanging="0" w:start="0" w:end="0"/>
        <w:jc w:val="start"/>
        <w:rPr/>
      </w:pPr>
      <w:r>
        <w:rPr>
          <w:caps w:val="false"/>
          <w:smallCaps w:val="false"/>
          <w:color w:val="2F3940"/>
          <w:spacing w:val="0"/>
        </w:rPr>
        <w:t>▶</w:t>
      </w:r>
      <w:r>
        <w:rPr>
          <w:rStyle w:val="Strong"/>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Quick Answer: How Are AI Literacy and Data Literacy Related?</w:t>
      </w:r>
    </w:p>
    <w:p>
      <w:pPr>
        <w:pStyle w:val="BodyText"/>
        <w:widowControl/>
        <w:bidi w:val="0"/>
        <w:spacing w:lineRule="atLeast" w:line="435" w:before="0" w:after="360"/>
        <w:ind w:hanging="0" w:start="0" w:end="0"/>
        <w:jc w:val="start"/>
        <w:rPr/>
      </w:pPr>
      <w:r>
        <w:rPr>
          <w:caps w:val="false"/>
          <w:smallCaps w:val="false"/>
          <w:color w:val="2F3940"/>
          <w:spacing w:val="0"/>
        </w:rPr>
        <w:t>▶</w:t>
      </w:r>
      <w:r>
        <w:rPr>
          <w:rStyle w:val="Strong"/>
          <w:caps w:val="false"/>
          <w:smallCaps w:val="false"/>
          <w:color w:val="2F3940"/>
          <w:spacing w:val="0"/>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Create an AI Literacy Roadmap to Drive Responsible and Productive AI</w:t>
      </w:r>
    </w:p>
    <w:p>
      <w:pPr>
        <w:pStyle w:val="BodyText"/>
        <w:widowControl/>
        <w:bidi w:val="0"/>
        <w:spacing w:lineRule="atLeast" w:line="435" w:before="0" w:after="360"/>
        <w:ind w:hanging="0" w:start="0" w:end="0"/>
        <w:jc w:val="start"/>
        <w:rPr>
          <w:caps w:val="false"/>
          <w:smallCaps w:val="false"/>
          <w:color w:val="2F3940"/>
          <w:spacing w:val="0"/>
        </w:rPr>
      </w:pPr>
      <w:r>
        <w:rPr>
          <w:caps w:val="false"/>
          <w:smallCaps w:val="false"/>
          <w:color w:val="2F3940"/>
          <w:spacing w:val="0"/>
        </w:rPr>
        <w:t>▶</w:t>
      </w:r>
      <w:r>
        <w:rPr>
          <w:caps w:val="false"/>
          <w:smallCaps w:val="false"/>
          <w:strike w:val="false"/>
          <w:dstrike w:val="false"/>
          <w:color w:val="00007F"/>
          <w:spacing w:val="0"/>
          <w:u w:val="none"/>
          <w:effect w:val="none"/>
        </w:rPr>
        <w:t> </w:t>
      </w:r>
      <w:r>
        <w:rPr>
          <w:rFonts w:ascii="Graphik;Gartner sans;Helvetica Neue;Helvetica;Arial;sans-serif" w:hAnsi="Graphik;Gartner sans;Helvetica Neue;Helvetica;Arial;sans-serif"/>
          <w:b/>
          <w:i w:val="false"/>
          <w:caps w:val="false"/>
          <w:smallCaps w:val="false"/>
          <w:strike w:val="false"/>
          <w:dstrike w:val="false"/>
          <w:color w:val="00007F"/>
          <w:spacing w:val="0"/>
          <w:sz w:val="24"/>
          <w:u w:val="none"/>
          <w:effect w:val="none"/>
        </w:rPr>
        <w:t>Why You Need to Build AI Literacy Now (and How to Do It)</w:t>
      </w:r>
    </w:p>
    <w:p>
      <w:pPr>
        <w:pStyle w:val="BodyText"/>
        <w:widowControl/>
        <w:bidi w:val="0"/>
        <w:spacing w:lineRule="atLeast" w:line="435" w:before="0" w:after="360"/>
        <w:ind w:hanging="0" w:start="0" w:end="0"/>
        <w:jc w:val="start"/>
        <w:rPr/>
      </w:pPr>
      <w:r>
        <w:rPr>
          <w:rStyle w:val="Strong"/>
          <w:rFonts w:ascii="Graphik;Gartner sans;Helvetica Neue;Helvetica;Arial;sans-serif" w:hAnsi="Graphik;Gartner sans;Helvetica Neue;Helvetica;Arial;sans-serif"/>
          <w:b/>
          <w:i w:val="false"/>
          <w:caps w:val="false"/>
          <w:smallCaps w:val="false"/>
          <w:color w:val="2F3940"/>
          <w:spacing w:val="0"/>
          <w:sz w:val="24"/>
        </w:rPr>
        <w:t>Recommendations:</w:t>
      </w:r>
    </w:p>
    <w:p>
      <w:pPr>
        <w:pStyle w:val="BodyText"/>
        <w:widowControl/>
        <w:numPr>
          <w:ilvl w:val="0"/>
          <w:numId w:val="18"/>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Ensure strategic alignment in managing AI risks.</w:t>
      </w:r>
    </w:p>
    <w:p>
      <w:pPr>
        <w:pStyle w:val="BodyText"/>
        <w:widowControl/>
        <w:numPr>
          <w:ilvl w:val="0"/>
          <w:numId w:val="18"/>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Implement robust AI governance.</w:t>
      </w:r>
    </w:p>
    <w:p>
      <w:pPr>
        <w:pStyle w:val="BodyText"/>
        <w:widowControl/>
        <w:numPr>
          <w:ilvl w:val="0"/>
          <w:numId w:val="18"/>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Uphold ethical standards in AI practices.</w:t>
      </w:r>
    </w:p>
    <w:p>
      <w:pPr>
        <w:pStyle w:val="BodyText"/>
        <w:widowControl/>
        <w:numPr>
          <w:ilvl w:val="0"/>
          <w:numId w:val="18"/>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Establish a solid technological foundation.</w:t>
      </w:r>
    </w:p>
    <w:p>
      <w:pPr>
        <w:pStyle w:val="BodyText"/>
        <w:widowControl/>
        <w:numPr>
          <w:ilvl w:val="0"/>
          <w:numId w:val="18"/>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Develop comprehensive risk management frameworks.</w:t>
      </w:r>
    </w:p>
    <w:p>
      <w:pPr>
        <w:pStyle w:val="BodyText"/>
        <w:widowControl/>
        <w:numPr>
          <w:ilvl w:val="0"/>
          <w:numId w:val="18"/>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Provide comprehensive education on AI fundamentals.</w:t>
      </w:r>
    </w:p>
    <w:p>
      <w:pPr>
        <w:pStyle w:val="BodyText"/>
        <w:widowControl/>
        <w:numPr>
          <w:ilvl w:val="0"/>
          <w:numId w:val="18"/>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Ensure compliance with regulatory requirements.</w:t>
      </w:r>
    </w:p>
    <w:p>
      <w:pPr>
        <w:pStyle w:val="BodyText"/>
        <w:widowControl/>
        <w:numPr>
          <w:ilvl w:val="0"/>
          <w:numId w:val="18"/>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Offer detailed governance training.</w:t>
      </w:r>
    </w:p>
    <w:p>
      <w:pPr>
        <w:pStyle w:val="BodyText"/>
        <w:widowControl/>
        <w:numPr>
          <w:ilvl w:val="0"/>
          <w:numId w:val="18"/>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Conduct practical workshops on AI.</w:t>
      </w:r>
    </w:p>
    <w:p>
      <w:pPr>
        <w:pStyle w:val="BodyText"/>
        <w:widowControl/>
        <w:numPr>
          <w:ilvl w:val="0"/>
          <w:numId w:val="18"/>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Maintain ongoing initiatives for workforce AI literacy.</w:t>
      </w:r>
    </w:p>
    <w:p>
      <w:pPr>
        <w:pStyle w:val="BodyText"/>
        <w:widowControl/>
        <w:numPr>
          <w:ilvl w:val="0"/>
          <w:numId w:val="18"/>
        </w:numPr>
        <w:pBdr/>
        <w:tabs>
          <w:tab w:val="clear" w:pos="709"/>
          <w:tab w:val="left" w:pos="0" w:leader="none"/>
        </w:tabs>
        <w:bidi w:val="0"/>
        <w:spacing w:lineRule="atLeast" w:line="435" w:before="0" w:after="240"/>
        <w:ind w:hanging="283" w:start="0" w:end="0"/>
        <w:jc w:val="start"/>
        <w:rPr>
          <w:rFonts w:ascii="Graphik;Gartner sans;Helvetica Neue;Helvetica;Arial;sans-serif" w:hAnsi="Graphik;Gartner sans;Helvetica Neue;Helvetica;Arial;sans-serif"/>
          <w:b w:val="false"/>
          <w:i w:val="false"/>
          <w:caps w:val="false"/>
          <w:smallCaps w:val="false"/>
          <w:color w:val="2F3940"/>
          <w:spacing w:val="0"/>
          <w:sz w:val="24"/>
        </w:rPr>
      </w:pPr>
      <w:r>
        <w:rPr>
          <w:rFonts w:ascii="Graphik;Gartner sans;Helvetica Neue;Helvetica;Arial;sans-serif" w:hAnsi="Graphik;Gartner sans;Helvetica Neue;Helvetica;Arial;sans-serif"/>
          <w:b w:val="false"/>
          <w:i w:val="false"/>
          <w:caps w:val="false"/>
          <w:smallCaps w:val="false"/>
          <w:color w:val="2F3940"/>
          <w:spacing w:val="0"/>
          <w:sz w:val="24"/>
        </w:rPr>
        <w:t>Support robust and responsible AI governance through education.</w:t>
      </w:r>
    </w:p>
    <w:p>
      <w:pPr>
        <w:pStyle w:val="BodyText"/>
        <w:bidi w:val="0"/>
        <w:spacing w:before="0" w:after="0"/>
        <w:ind w:hanging="0" w:start="0" w:end="0"/>
        <w:jc w:val="start"/>
        <w:rPr/>
      </w:pPr>
      <w:r>
        <w:rPr/>
      </w: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Graphik">
    <w:altName w:val="Helvetica Neue"/>
    <w:charset w:val="01" w:characterSet="utf-8"/>
    <w:family w:val="auto"/>
    <w:pitch w:val="default"/>
  </w:font>
  <w:font w:name="Graphik">
    <w:altName w:val="Gartner sans"/>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Songti SC" w:cs="Arial Unicode MS"/>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artner.com/api/document/5876911/download/undefined/Downloadable_Slides_A_Journey_Guide_to_Manage_AI_Governance_Trust_Risk_and_Security.pptx" TargetMode="External"/><Relationship Id="rId3" Type="http://schemas.openxmlformats.org/officeDocument/2006/relationships/hyperlink" Target="https://www.gartner.com/api/document/5876911/download/undefined/Downloadable_Slides_A_Journey_Guide_to_Manage_AI_Governance_Trust_Risk_and_Security.pptx" TargetMode="External"/><Relationship Id="rId4" Type="http://schemas.openxmlformats.org/officeDocument/2006/relationships/hyperlink" Target="https://www.gartner.com/api/document/5876911/download/undefined/Downloadable_Slides_A_Journey_Guide_to_Manage_AI_Governance_Trust_Risk_and_Security.pptx"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www.gartner.com/fast-answer/tech/63da4380-8024-360a-b482-48dc42b7024f" TargetMode="External"/><Relationship Id="rId9" Type="http://schemas.openxmlformats.org/officeDocument/2006/relationships/hyperlink" Target="https://www.gartner.com/interactive/hc/6618202" TargetMode="External"/><Relationship Id="rId10" Type="http://schemas.openxmlformats.org/officeDocument/2006/relationships/image" Target="media/image4.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240</TotalTime>
  <Application>LibreOffice/25.2.7.2$MacOSX_AARCH64 LibreOffice_project/5cbfd1ab6520636bb5f7b99185aa69bd7456825d</Application>
  <AppVersion>15.0000</AppVersion>
  <Pages>19</Pages>
  <Words>3896</Words>
  <Characters>22690</Characters>
  <CharactersWithSpaces>26203</CharactersWithSpaces>
  <Paragraphs>266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2026-02-02T10:44:44Z</dcterms:created>
  <dc:creator/>
  <dc:description/>
  <dc:language>en-US</dc:language>
  <cp:lastModifiedBy/>
  <dcterms:modified xsi:type="dcterms:W3CDTF">2026-02-02T14:55:36Z</dcterms:modified>
  <cp:revision>1</cp:revision>
  <dc:subject/>
  <dc:title/>
</cp:coreProperties>
</file>