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ode-fixes-9-september-2026"/>
    <w:p>
      <w:pPr>
        <w:pStyle w:val="Heading1"/>
      </w:pPr>
      <w:r>
        <w:t xml:space="preserve">Code fixes — 9 September 2026</w:t>
      </w:r>
    </w:p>
    <w:p>
      <w:pPr>
        <w:pStyle w:val="FirstParagraph"/>
      </w:pPr>
      <w:r>
        <w:t xml:space="preserve">Summary of database, migration, and application-layer changes made during today’s review and follow-up work on the</w:t>
      </w:r>
      <w:r>
        <w:t xml:space="preserve"> </w:t>
      </w:r>
      <w:r>
        <w:rPr>
          <w:b/>
          <w:bCs/>
        </w:rPr>
        <w:t xml:space="preserve">governanceiq-sql</w:t>
      </w:r>
      <w:r>
        <w:t xml:space="preserve"> </w:t>
      </w:r>
      <w:r>
        <w:t xml:space="preserve">repository.</w:t>
      </w:r>
    </w:p>
    <w:p>
      <w:r>
        <w:pict>
          <v:rect style="width:0;height:1.5pt" o:hralign="center" o:hrstd="t" o:hr="t"/>
        </w:pict>
      </w:r>
    </w:p>
    <w:bookmarkStart w:id="11" w:name="postgresql-migration-deploy-safety"/>
    <w:p>
      <w:pPr>
        <w:pStyle w:val="Heading2"/>
      </w:pPr>
      <w:r>
        <w:t xml:space="preserve">1. PostgreSQL migration deploy safety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rPr>
          <w:rStyle w:val="VerbatimChar"/>
        </w:rPr>
        <w:t xml:space="preserve">prisma/migrations/</w:t>
      </w:r>
      <w:r>
        <w:t xml:space="preserve"> </w:t>
      </w:r>
      <w:r>
        <w:t xml:space="preserve">contains</w:t>
      </w:r>
      <w:r>
        <w:t xml:space="preserve"> </w:t>
      </w:r>
      <w:r>
        <w:rPr>
          <w:b/>
          <w:bCs/>
        </w:rPr>
        <w:t xml:space="preserve">MySQL</w:t>
      </w:r>
      <w:r>
        <w:t xml:space="preserve"> </w:t>
      </w:r>
      <w:r>
        <w:t xml:space="preserve">DDL while</w:t>
      </w:r>
      <w:r>
        <w:t xml:space="preserve"> </w:t>
      </w:r>
      <w:r>
        <w:rPr>
          <w:rStyle w:val="VerbatimChar"/>
        </w:rPr>
        <w:t xml:space="preserve">prisma/migrations-postgresql/</w:t>
      </w:r>
      <w:r>
        <w:t xml:space="preserve"> </w:t>
      </w:r>
      <w:r>
        <w:t xml:space="preserve">contains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DDL. Running</w:t>
      </w:r>
      <w:r>
        <w:t xml:space="preserve"> </w:t>
      </w:r>
      <w:r>
        <w:rPr>
          <w:rStyle w:val="VerbatimChar"/>
        </w:rPr>
        <w:t xml:space="preserve">npm run db:deploy</w:t>
      </w:r>
      <w:r>
        <w:t xml:space="preserve"> </w:t>
      </w:r>
      <w:r>
        <w:t xml:space="preserve">against Postgres could apply the wrong engine’s migrations.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- Added</w:t>
      </w:r>
      <w:r>
        <w:t xml:space="preserve"> </w:t>
      </w:r>
      <w:hyperlink r:id="rId9">
        <w:r>
          <w:rPr>
            <w:rStyle w:val="VerbatimChar"/>
          </w:rPr>
          <w:t xml:space="preserve">prisma/migrate-deploy.mjs</w:t>
        </w:r>
      </w:hyperlink>
      <w:r>
        <w:t xml:space="preserve"> </w:t>
      </w:r>
      <w:r>
        <w:t xml:space="preserve">— reads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schema.prisma</w:t>
      </w:r>
      <w:r>
        <w:t xml:space="preserve">, validates</w:t>
      </w:r>
      <w:r>
        <w:t xml:space="preserve"> </w:t>
      </w:r>
      <w:r>
        <w:rPr>
          <w:rStyle w:val="VerbatimChar"/>
        </w:rPr>
        <w:t xml:space="preserve">migration_lock.toml</w:t>
      </w:r>
      <w:r>
        <w:t xml:space="preserve">, and runs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 </w:t>
      </w:r>
      <w:r>
        <w:t xml:space="preserve">from a temporary directory using the correct migration folder.</w:t>
      </w:r>
      <w:r>
        <w:t xml:space="preserve"> </w:t>
      </w:r>
      <w:r>
        <w:t xml:space="preserve">- Updated</w:t>
      </w:r>
      <w:r>
        <w:t xml:space="preserve"> </w:t>
      </w:r>
      <w:hyperlink r:id="rId10">
        <w:r>
          <w:rPr>
            <w:rStyle w:val="VerbatimChar"/>
          </w:rPr>
          <w:t xml:space="preserve">package.json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db:deploy</w:t>
      </w:r>
      <w:r>
        <w:t xml:space="preserve"> </w:t>
      </w:r>
      <w:r>
        <w:t xml:space="preserve">now calls this script instead of bare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How to use: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db:provider postgresql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postgresql://...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db:deploy</w:t>
      </w:r>
    </w:p>
    <w:p>
      <w:r>
        <w:pict>
          <v:rect style="width:0;height:1.5pt" o:hralign="center" o:hrstd="t" o:hr="t"/>
        </w:pict>
      </w:r>
    </w:p>
    <w:bookmarkEnd w:id="11"/>
    <w:bookmarkStart w:id="16" w:name="Xb0a919427fa1e9da398033dcbc072d6f1456820"/>
    <w:p>
      <w:pPr>
        <w:pStyle w:val="Heading2"/>
      </w:pPr>
      <w:r>
        <w:t xml:space="preserve">2. Metric entries — facility scoping and SQL parity with Mongo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Mongo uses a</w:t>
      </w:r>
      <w:r>
        <w:t xml:space="preserve"> </w:t>
      </w:r>
      <w:r>
        <w:rPr>
          <w:b/>
          <w:bCs/>
        </w:rPr>
        <w:t xml:space="preserve">sparse unique</w:t>
      </w:r>
      <w:r>
        <w:t xml:space="preserve"> </w:t>
      </w:r>
      <w:r>
        <w:t xml:space="preserve">index on</w:t>
      </w:r>
      <w:r>
        <w:t xml:space="preserve"> </w:t>
      </w:r>
      <w:r>
        <w:rPr>
          <w:rStyle w:val="VerbatimChar"/>
        </w:rPr>
        <w:t xml:space="preserve">(customerId, year, metricDefinitionCode, facilityId)</w:t>
      </w:r>
      <w:r>
        <w:t xml:space="preserve"> </w:t>
      </w:r>
      <w:r>
        <w:t xml:space="preserve">— uniqueness applies only when</w:t>
      </w:r>
      <w:r>
        <w:t xml:space="preserve"> </w:t>
      </w:r>
      <w:r>
        <w:rPr>
          <w:rStyle w:val="VerbatimChar"/>
        </w:rPr>
        <w:t xml:space="preserve">facilityId</w:t>
      </w:r>
      <w:r>
        <w:t xml:space="preserve"> </w:t>
      </w:r>
      <w:r>
        <w:t xml:space="preserve">is set. On Postgres, empty string</w:t>
      </w:r>
      <w:r>
        <w:t xml:space="preserve"> </w:t>
      </w:r>
      <w:r>
        <w:rPr>
          <w:rStyle w:val="VerbatimChar"/>
        </w:rPr>
        <w:t xml:space="preserve">''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were treated inconsistently, allowing duplicate “company-wide” rows and ambiguous upserts.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-</w:t>
      </w:r>
      <w:r>
        <w:t xml:space="preserve"> </w:t>
      </w:r>
      <w:hyperlink r:id="rId12">
        <w:r>
          <w:rPr>
            <w:rStyle w:val="VerbatimChar"/>
          </w:rPr>
          <w:t xml:space="preserve">server/data/emissionsSql.ts</w:t>
        </w:r>
      </w:hyperlink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normalizeFacilityId()</w:t>
      </w:r>
      <w:r>
        <w:t xml:space="preserve"> </w:t>
      </w:r>
      <w:r>
        <w:t xml:space="preserve">— empty/whitespace</w:t>
      </w:r>
      <w:r>
        <w:t xml:space="preserve"> </w:t>
      </w:r>
      <w:r>
        <w:rPr>
          <w:rStyle w:val="VerbatimChar"/>
        </w:rPr>
        <w:t xml:space="preserve">facilityId</w:t>
      </w:r>
      <w:r>
        <w:t xml:space="preserve"> </w:t>
      </w:r>
      <w:r>
        <w:t xml:space="preserve">stored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  <w:r>
        <w:t xml:space="preserve"> </w:t>
      </w:r>
      <w:r>
        <w:t xml:space="preserve">- Upsert lookup matches legacy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''</w:t>
      </w:r>
      <w:r>
        <w:t xml:space="preserve"> </w:t>
      </w:r>
      <w:r>
        <w:t xml:space="preserve">rows when no facility is selected.</w:t>
      </w:r>
      <w:r>
        <w:t xml:space="preserve"> </w:t>
      </w:r>
      <w:r>
        <w:t xml:space="preserve">- Handles concurrent create races via</w:t>
      </w:r>
      <w:r>
        <w:t xml:space="preserve"> </w:t>
      </w:r>
      <w:r>
        <w:rPr>
          <w:rStyle w:val="VerbatimChar"/>
        </w:rPr>
        <w:t xml:space="preserve">P2002</w:t>
      </w:r>
      <w:r>
        <w:t xml:space="preserve"> </w:t>
      </w:r>
      <w:r>
        <w:t xml:space="preserve">→ retry update.</w:t>
      </w:r>
      <w:r>
        <w:t xml:space="preserve"> </w:t>
      </w:r>
      <w:r>
        <w:t xml:space="preserve">-</w:t>
      </w:r>
      <w:r>
        <w:t xml:space="preserve"> </w:t>
      </w:r>
      <w:hyperlink r:id="rId13">
        <w:r>
          <w:rPr>
            <w:rStyle w:val="VerbatimChar"/>
          </w:rPr>
          <w:t xml:space="preserve">prisma/sql/pgvector-and-partial-indexes.sql</w:t>
        </w:r>
      </w:hyperlink>
      <w:r>
        <w:t xml:space="preserve"> </w:t>
      </w:r>
      <w:r>
        <w:t xml:space="preserve">and</w:t>
      </w:r>
      <w:r>
        <w:t xml:space="preserve"> </w:t>
      </w:r>
      <w:hyperlink r:id="rId14">
        <w:r>
          <w:rPr>
            <w:rStyle w:val="VerbatimChar"/>
          </w:rPr>
          <w:t xml:space="preserve">prisma/migrations-postgresql/1_pgvector_and_partial_indexes/migration.sql</w:t>
        </w:r>
      </w:hyperlink>
      <w:r>
        <w:t xml:space="preserve">:</w:t>
      </w:r>
      <w:r>
        <w:t xml:space="preserve"> </w:t>
      </w:r>
      <w:r>
        <w:t xml:space="preserve">- Per-facility partial unique index excludes empty strings:</w:t>
      </w:r>
      <w:r>
        <w:br/>
      </w:r>
      <w:r>
        <w:rPr>
          <w:rStyle w:val="VerbatimChar"/>
        </w:rPr>
        <w:t xml:space="preserve">WHERE "facilityId" IS NOT NULL AND "facilityId" &lt;&gt; ''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company-wide unique index — aligns with product rule: one row per facility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optional consolidated (NULL facility) rows for the same metric.</w:t>
      </w:r>
      <w:r>
        <w:t xml:space="preserve"> </w:t>
      </w:r>
      <w:r>
        <w:t xml:space="preserve">- Idempotent</w:t>
      </w:r>
      <w:r>
        <w:t xml:space="preserve"> </w:t>
      </w:r>
      <w:r>
        <w:rPr>
          <w:rStyle w:val="VerbatimChar"/>
        </w:rPr>
        <w:t xml:space="preserve">DROP INDEX IF EXISTS metricentries_companywide_unique</w:t>
      </w:r>
      <w:r>
        <w:t xml:space="preserve"> </w:t>
      </w:r>
      <w:r>
        <w:t xml:space="preserve">if a draft index was applied earlier.</w:t>
      </w:r>
      <w:r>
        <w:t xml:space="preserve"> </w:t>
      </w:r>
      <w:r>
        <w:t xml:space="preserve">-</w:t>
      </w:r>
      <w:r>
        <w:t xml:space="preserve"> </w:t>
      </w:r>
      <w:hyperlink r:id="rId15">
        <w:r>
          <w:rPr>
            <w:rStyle w:val="VerbatimChar"/>
          </w:rPr>
          <w:t xml:space="preserve">prisma/schema.prisma</w:t>
        </w:r>
      </w:hyperlink>
      <w:r>
        <w:t xml:space="preserve"> </w:t>
      </w:r>
      <w:r>
        <w:t xml:space="preserve">— comment updated to describe sparse/per-facility behaviour.</w:t>
      </w:r>
    </w:p>
    <w:p>
      <w:pPr>
        <w:pStyle w:val="BodyText"/>
      </w:pPr>
      <w:r>
        <w:rPr>
          <w:b/>
          <w:bCs/>
        </w:rPr>
        <w:t xml:space="preserve">Applied on local Postgres:</w:t>
      </w:r>
      <w:r>
        <w:t xml:space="preserve"> </w:t>
      </w:r>
      <w:r>
        <w:rPr>
          <w:rStyle w:val="VerbatimChar"/>
        </w:rPr>
        <w:t xml:space="preserve">sql:extras</w:t>
      </w:r>
      <w:r>
        <w:t xml:space="preserve"> </w:t>
      </w:r>
      <w:r>
        <w:t xml:space="preserve">/ partial-index SQL was run against</w:t>
      </w:r>
      <w:r>
        <w:t xml:space="preserve"> </w:t>
      </w:r>
      <w:r>
        <w:rPr>
          <w:rStyle w:val="VerbatimChar"/>
        </w:rPr>
        <w:t xml:space="preserve">governanceiq-postgres-1</w:t>
      </w:r>
      <w:r>
        <w:t xml:space="preserve"> </w:t>
      </w:r>
      <w:r>
        <w:t xml:space="preserve">(port 5442).</w:t>
      </w:r>
    </w:p>
    <w:p>
      <w:r>
        <w:pict>
          <v:rect style="width:0;height:1.5pt" o:hralign="center" o:hrstd="t" o:hr="t"/>
        </w:pict>
      </w:r>
    </w:p>
    <w:bookmarkEnd w:id="16"/>
    <w:bookmarkStart w:id="18" w:name="X211488c573b8fbcd1064b083193a6c3afcddc36"/>
    <w:p>
      <w:pPr>
        <w:pStyle w:val="Heading2"/>
      </w:pPr>
      <w:r>
        <w:t xml:space="preserve">3. ETL reference map — assignment and answer question IDs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hyperlink r:id="rId17">
        <w:r>
          <w:rPr>
            <w:rStyle w:val="VerbatimChar"/>
          </w:rPr>
          <w:t xml:space="preserve">server/data/migration/schemaMap.ts</w:t>
        </w:r>
      </w:hyperlink>
      <w:r>
        <w:t xml:space="preserve"> </w:t>
      </w:r>
      <w:r>
        <w:t xml:space="preserve">mapped</w:t>
      </w:r>
      <w:r>
        <w:t xml:space="preserve"> </w:t>
      </w:r>
      <w:r>
        <w:rPr>
          <w:rStyle w:val="VerbatimChar"/>
        </w:rPr>
        <w:t xml:space="preserve">questionIds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questionId</w:t>
      </w:r>
      <w:r>
        <w:t xml:space="preserve"> </w:t>
      </w:r>
      <w:r>
        <w:t xml:space="preserve">to template</w:t>
      </w:r>
      <w:r>
        <w:t xml:space="preserve"> </w:t>
      </w:r>
      <w:r>
        <w:rPr>
          <w:rStyle w:val="VerbatimChar"/>
          <w:b/>
          <w:bCs/>
        </w:rPr>
        <w:t xml:space="preserve">questions</w:t>
      </w:r>
      <w:r>
        <w:t xml:space="preserve">. In the app, assignments and answers use</w:t>
      </w:r>
      <w:r>
        <w:t xml:space="preserve"> </w:t>
      </w:r>
      <w:r>
        <w:rPr>
          <w:b/>
          <w:bCs/>
        </w:rPr>
        <w:t xml:space="preserve">project question</w:t>
      </w:r>
      <w:r>
        <w:t xml:space="preserve"> </w:t>
      </w:r>
      <w:r>
        <w:t xml:space="preserve">IDs (</w:t>
      </w:r>
      <w:r>
        <w:rPr>
          <w:rStyle w:val="VerbatimChar"/>
        </w:rPr>
        <w:t xml:space="preserve">projectQuestions</w:t>
      </w:r>
      <w:r>
        <w:t xml:space="preserve"> </w:t>
      </w:r>
      <w:r>
        <w:t xml:space="preserve">collection).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Updated</w:t>
      </w:r>
      <w:r>
        <w:t xml:space="preserve"> </w:t>
      </w:r>
      <w:r>
        <w:rPr>
          <w:rStyle w:val="VerbatimChar"/>
        </w:rPr>
        <w:t xml:space="preserve">arrayReferences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references</w:t>
      </w:r>
      <w:r>
        <w:t xml:space="preserve"> </w:t>
      </w:r>
      <w:r>
        <w:t xml:space="preserve">targets:</w:t>
      </w:r>
      <w:r>
        <w:t xml:space="preserve"> </w:t>
      </w:r>
      <w:r>
        <w:t xml:space="preserve">| Collection | Field | Old target | New target |</w:t>
      </w:r>
      <w:r>
        <w:t xml:space="preserve"> </w:t>
      </w:r>
      <w:r>
        <w:t xml:space="preserve">|————|——-|————|————|</w:t>
      </w:r>
      <w:r>
        <w:t xml:space="preserve"> </w:t>
      </w:r>
      <w:r>
        <w:t xml:space="preserve">| assignments |</w:t>
      </w:r>
      <w:r>
        <w:t xml:space="preserve"> </w:t>
      </w:r>
      <w:r>
        <w:rPr>
          <w:rStyle w:val="VerbatimChar"/>
        </w:rPr>
        <w:t xml:space="preserve">questionIds</w:t>
      </w:r>
      <w:r>
        <w:t xml:space="preserve"> </w:t>
      </w:r>
      <w:r>
        <w:t xml:space="preserve">| questions |</w:t>
      </w:r>
      <w:r>
        <w:t xml:space="preserve"> </w:t>
      </w:r>
      <w:r>
        <w:rPr>
          <w:b/>
          <w:bCs/>
        </w:rPr>
        <w:t xml:space="preserve">projectQuestions</w:t>
      </w:r>
      <w:r>
        <w:t xml:space="preserve"> </w:t>
      </w:r>
      <w:r>
        <w:t xml:space="preserve">|</w:t>
      </w:r>
      <w:r>
        <w:t xml:space="preserve"> </w:t>
      </w:r>
      <w:r>
        <w:t xml:space="preserve">| answers |</w:t>
      </w:r>
      <w:r>
        <w:t xml:space="preserve"> </w:t>
      </w:r>
      <w:r>
        <w:rPr>
          <w:rStyle w:val="VerbatimChar"/>
        </w:rPr>
        <w:t xml:space="preserve">questionId</w:t>
      </w:r>
      <w:r>
        <w:t xml:space="preserve"> </w:t>
      </w:r>
      <w:r>
        <w:t xml:space="preserve">| questions |</w:t>
      </w:r>
      <w:r>
        <w:t xml:space="preserve"> </w:t>
      </w:r>
      <w:r>
        <w:rPr>
          <w:b/>
          <w:bCs/>
        </w:rPr>
        <w:t xml:space="preserve">projectQuestions</w:t>
      </w:r>
      <w:r>
        <w:t xml:space="preserve"> </w:t>
      </w:r>
      <w:r>
        <w:t xml:space="preserve">|</w:t>
      </w:r>
      <w:r>
        <w:t xml:space="preserve"> </w:t>
      </w:r>
      <w:r>
        <w:t xml:space="preserve">| answerVersions |</w:t>
      </w:r>
      <w:r>
        <w:t xml:space="preserve"> </w:t>
      </w:r>
      <w:r>
        <w:rPr>
          <w:rStyle w:val="VerbatimChar"/>
        </w:rPr>
        <w:t xml:space="preserve">questionId</w:t>
      </w:r>
      <w:r>
        <w:t xml:space="preserve"> </w:t>
      </w:r>
      <w:r>
        <w:t xml:space="preserve">| questions |</w:t>
      </w:r>
      <w:r>
        <w:t xml:space="preserve"> </w:t>
      </w:r>
      <w:r>
        <w:rPr>
          <w:b/>
          <w:bCs/>
        </w:rPr>
        <w:t xml:space="preserve">projectQuestions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This improves Phase 0 audit dangling-ref checks and ETL metadata accuracy. IDs that are already Mongo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hex values continue to migrate unchanged.</w:t>
      </w:r>
    </w:p>
    <w:p>
      <w:r>
        <w:pict>
          <v:rect style="width:0;height:1.5pt" o:hralign="center" o:hrstd="t" o:hr="t"/>
        </w:pict>
      </w:r>
    </w:p>
    <w:bookmarkEnd w:id="18"/>
    <w:bookmarkStart w:id="22" w:name="client-ui-tests-regression-coverage"/>
    <w:p>
      <w:pPr>
        <w:pStyle w:val="Heading2"/>
      </w:pPr>
      <w:r>
        <w:t xml:space="preserve">4. Client UI tests (regression coverage)</w:t>
      </w:r>
    </w:p>
    <w:p>
      <w:pPr>
        <w:pStyle w:val="FirstParagraph"/>
      </w:pPr>
      <w:r>
        <w:t xml:space="preserve">Added Vitest + Testing Library tests (not production bug fixes, but guard today’s shell behaviour):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VerbatimChar"/>
                </w:rPr>
                <w:t xml:space="preserve">tests/client/adminShell.ui.test.tsx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Sidebar links, role gating (admin/consultant/auditor/contributor), module flags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VerbatimChar"/>
                </w:rPr>
                <w:t xml:space="preserve">tests/client/loginPage.ui.test.tsx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Login, forgot password, OTP mode,</w:t>
            </w:r>
            <w:r>
              <w:t xml:space="preserve"> </w:t>
            </w:r>
            <w:r>
              <w:rPr>
                <w:rStyle w:val="VerbatimChar"/>
              </w:rPr>
              <w:t xml:space="preserve">?lang=tr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VerbatimChar"/>
                </w:rPr>
                <w:t xml:space="preserve">tests/client/helpers/renderWithAppShell.tsx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Shared test helpers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test:client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tests/client/adminShell.ui.test.tsx tests/client/loginPage.ui.test.tsx</w:t>
      </w:r>
    </w:p>
    <w:p>
      <w:r>
        <w:pict>
          <v:rect style="width:0;height:1.5pt" o:hralign="center" o:hrstd="t" o:hr="t"/>
        </w:pict>
      </w:r>
    </w:p>
    <w:bookmarkEnd w:id="22"/>
    <w:bookmarkStart w:id="28" w:name="documentation-addedupdated-same-session"/>
    <w:p>
      <w:pPr>
        <w:pStyle w:val="Heading2"/>
      </w:pPr>
      <w:r>
        <w:t xml:space="preserve">5. Documentation added/updated (same session)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VerbatimChar"/>
                </w:rPr>
                <w:t xml:space="preserve">docs/guides/application-features-guide.md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Feature catalog (all modules)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VerbatimChar"/>
                </w:rPr>
                <w:t xml:space="preserve">docs/guides/application-features-guide.docx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Word export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VerbatimChar"/>
                </w:rPr>
                <w:t xml:space="preserve">docs/README.md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Index links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VerbatimChar"/>
                </w:rPr>
                <w:t xml:space="preserve">docs/guides/user-guide.md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Pointer to feature catalog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VerbatimChar"/>
                </w:rPr>
                <w:t xml:space="preserve">docs/qa/test-plan.md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§7 UI tests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review-findings-not-fixed-today-backlog"/>
    <w:p>
      <w:pPr>
        <w:pStyle w:val="Heading2"/>
      </w:pPr>
      <w:r>
        <w:t xml:space="preserve">6. Review findings — not fixed today (backlog)</w:t>
      </w:r>
    </w:p>
    <w:p>
      <w:pPr>
        <w:pStyle w:val="FirstParagraph"/>
      </w:pPr>
      <w:r>
        <w:t xml:space="preserve">These were identified in the SQL/database review but left for a later pass:</w:t>
      </w:r>
    </w:p>
    <w:p>
      <w:pPr>
        <w:pStyle w:val="Compact"/>
        <w:numPr>
          <w:ilvl w:val="0"/>
          <w:numId w:val="1001"/>
        </w:numPr>
      </w:pPr>
      <w:r>
        <w:t xml:space="preserve">No database</w:t>
      </w:r>
      <w:r>
        <w:t xml:space="preserve"> </w:t>
      </w:r>
      <w:r>
        <w:rPr>
          <w:b/>
          <w:bCs/>
        </w:rPr>
        <w:t xml:space="preserve">foreign keys</w:t>
      </w:r>
      <w:r>
        <w:t xml:space="preserve"> </w:t>
      </w:r>
      <w:r>
        <w:t xml:space="preserve">(intentional for ETL; orphan rows possible).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Racey upserts</w:t>
      </w:r>
      <w:r>
        <w:t xml:space="preserve"> </w:t>
      </w:r>
      <w:r>
        <w:t xml:space="preserve">on some non-metric paths (</w:t>
      </w:r>
      <w:r>
        <w:rPr>
          <w:rStyle w:val="VerbatimChar"/>
        </w:rPr>
        <w:t xml:space="preserve">findFirst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without unique constraint).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legacyFirebaseId</w:t>
      </w:r>
      <w:r>
        <w:t xml:space="preserve"> </w:t>
      </w:r>
      <w:r>
        <w:t xml:space="preserve">not unique — duplicate legacy IDs resolve arbitrarily.</w:t>
      </w:r>
    </w:p>
    <w:p>
      <w:pPr>
        <w:pStyle w:val="Compact"/>
        <w:numPr>
          <w:ilvl w:val="0"/>
          <w:numId w:val="1001"/>
        </w:numPr>
      </w:pPr>
      <w:r>
        <w:t xml:space="preserve">ETL</w:t>
      </w:r>
      <w:r>
        <w:t xml:space="preserve"> </w:t>
      </w:r>
      <w:r>
        <w:rPr>
          <w:rStyle w:val="VerbatimChar"/>
          <w:b/>
          <w:bCs/>
        </w:rPr>
        <w:t xml:space="preserve">createMany({ skipDuplicates: true })</w:t>
      </w:r>
      <w:r>
        <w:t xml:space="preserve"> </w:t>
      </w:r>
      <w:r>
        <w:t xml:space="preserve">is insert-only on re-run.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Float</w:t>
      </w:r>
      <w:r>
        <w:t xml:space="preserve"> </w:t>
      </w:r>
      <w:r>
        <w:t xml:space="preserve">columns for money/emissions (precision drift vs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OTP TTL</w:t>
      </w:r>
      <w:r>
        <w:t xml:space="preserve"> </w:t>
      </w:r>
      <w:r>
        <w:t xml:space="preserve">relies on periodic cleanup, not DB expiry.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pgvector</w:t>
      </w:r>
      <w:r>
        <w:t xml:space="preserve"> </w:t>
      </w:r>
      <w:r>
        <w:t xml:space="preserve">dimension hardcoded to 768 in migration SQL vs runtime config.</w:t>
      </w:r>
    </w:p>
    <w:p>
      <w:r>
        <w:pict>
          <v:rect style="width:0;height:1.5pt" o:hralign="center" o:hrstd="t" o:hr="t"/>
        </w:pict>
      </w:r>
    </w:p>
    <w:bookmarkEnd w:id="29"/>
    <w:bookmarkStart w:id="30" w:name="files-touched-code-migrations"/>
    <w:p>
      <w:pPr>
        <w:pStyle w:val="Heading2"/>
      </w:pPr>
      <w:r>
        <w:t xml:space="preserve">Files touched (code &amp; migrations)</w:t>
      </w:r>
    </w:p>
    <w:p>
      <w:pPr>
        <w:pStyle w:val="SourceCode"/>
      </w:pPr>
      <w:r>
        <w:rPr>
          <w:rStyle w:val="VerbatimChar"/>
        </w:rPr>
        <w:t xml:space="preserve">package.json</w:t>
      </w:r>
      <w:r>
        <w:br/>
      </w:r>
      <w:r>
        <w:rPr>
          <w:rStyle w:val="VerbatimChar"/>
        </w:rPr>
        <w:t xml:space="preserve">prisma/migrate-deploy.mjs                    (new)</w:t>
      </w:r>
      <w:r>
        <w:br/>
      </w:r>
      <w:r>
        <w:rPr>
          <w:rStyle w:val="VerbatimChar"/>
        </w:rPr>
        <w:t xml:space="preserve">prisma/schema.prisma</w:t>
      </w:r>
      <w:r>
        <w:br/>
      </w:r>
      <w:r>
        <w:rPr>
          <w:rStyle w:val="VerbatimChar"/>
        </w:rPr>
        <w:t xml:space="preserve">prisma/sql/pgvector-and-partial-indexes.sql</w:t>
      </w:r>
      <w:r>
        <w:br/>
      </w:r>
      <w:r>
        <w:rPr>
          <w:rStyle w:val="VerbatimChar"/>
        </w:rPr>
        <w:t xml:space="preserve">prisma/migrations-postgresql/1_pgvector_and_partial_indexes/migration.sql</w:t>
      </w:r>
      <w:r>
        <w:br/>
      </w:r>
      <w:r>
        <w:rPr>
          <w:rStyle w:val="VerbatimChar"/>
        </w:rPr>
        <w:t xml:space="preserve">server/data/emissionsSql.ts</w:t>
      </w:r>
      <w:r>
        <w:br/>
      </w:r>
      <w:r>
        <w:rPr>
          <w:rStyle w:val="VerbatimChar"/>
        </w:rPr>
        <w:t xml:space="preserve">server/data/migration/schemaMap.ts</w:t>
      </w:r>
      <w:r>
        <w:br/>
      </w:r>
      <w:r>
        <w:rPr>
          <w:rStyle w:val="VerbatimChar"/>
        </w:rPr>
        <w:t xml:space="preserve">tests/client/adminShell.ui.test.tsx          (new)</w:t>
      </w:r>
      <w:r>
        <w:br/>
      </w:r>
      <w:r>
        <w:rPr>
          <w:rStyle w:val="VerbatimChar"/>
        </w:rPr>
        <w:t xml:space="preserve">tests/client/loginPage.ui.test.tsx           (new)</w:t>
      </w:r>
      <w:r>
        <w:br/>
      </w:r>
      <w:r>
        <w:rPr>
          <w:rStyle w:val="VerbatimChar"/>
        </w:rPr>
        <w:t xml:space="preserve">tests/client/helpers/renderWithAppShell.tsx  (new)</w:t>
      </w:r>
    </w:p>
    <w:p>
      <w:r>
        <w:pict>
          <v:rect style="width:0;height:1.5pt" o:hralign="center" o:hrstd="t" o:hr="t"/>
        </w:pict>
      </w:r>
    </w:p>
    <w:bookmarkEnd w:id="30"/>
    <w:bookmarkStart w:id="31" w:name="suggested-follow-up-for-operators"/>
    <w:p>
      <w:pPr>
        <w:pStyle w:val="Heading2"/>
      </w:pPr>
      <w:r>
        <w:t xml:space="preserve">Suggested follow-up for operators</w:t>
      </w:r>
    </w:p>
    <w:p>
      <w:pPr>
        <w:numPr>
          <w:ilvl w:val="0"/>
          <w:numId w:val="1002"/>
        </w:numPr>
      </w:pPr>
      <w:r>
        <w:t xml:space="preserve">On existing Postgres deployments, re-run partial indexes: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sql:extras</w:t>
      </w:r>
    </w:p>
    <w:p>
      <w:pPr>
        <w:numPr>
          <w:ilvl w:val="0"/>
          <w:numId w:val="1000"/>
        </w:numPr>
      </w:pPr>
      <w:r>
        <w:t xml:space="preserve">or</w:t>
      </w:r>
      <w:r>
        <w:br/>
      </w:r>
      <w:r>
        <w:rPr>
          <w:rStyle w:val="VerbatimChar"/>
        </w:rPr>
        <w:t xml:space="preserve">psql "$DATABASE_URL" -f prisma/sql/pgvector-and-partial-indexes.sql</w:t>
      </w:r>
    </w:p>
    <w:p>
      <w:pPr>
        <w:numPr>
          <w:ilvl w:val="0"/>
          <w:numId w:val="1002"/>
        </w:numPr>
      </w:pPr>
      <w:r>
        <w:t xml:space="preserve">After changing</w:t>
      </w:r>
      <w:r>
        <w:t xml:space="preserve"> </w:t>
      </w:r>
      <w:r>
        <w:rPr>
          <w:rStyle w:val="VerbatimChar"/>
        </w:rPr>
        <w:t xml:space="preserve">schemaMap.ts</w:t>
      </w:r>
      <w:r>
        <w:t xml:space="preserve">, re-run</w:t>
      </w:r>
      <w:r>
        <w:t xml:space="preserve"> </w:t>
      </w:r>
      <w:r>
        <w:rPr>
          <w:rStyle w:val="VerbatimChar"/>
        </w:rPr>
        <w:t xml:space="preserve">npm run audit:mongo</w:t>
      </w:r>
      <w:r>
        <w:t xml:space="preserve"> </w:t>
      </w:r>
      <w:r>
        <w:t xml:space="preserve">before the next ETL cutover.</w:t>
      </w:r>
    </w:p>
    <w:p>
      <w:pPr>
        <w:numPr>
          <w:ilvl w:val="0"/>
          <w:numId w:val="1002"/>
        </w:numPr>
      </w:pPr>
      <w:r>
        <w:t xml:space="preserve">Regenerate Word guide after Markdown edits: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docs/guides/application-features-guide.md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docs/guides/application-features-guide.docx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../package.json" TargetMode="External" /><Relationship Type="http://schemas.openxmlformats.org/officeDocument/2006/relationships/hyperlink" Id="rId9" Target="../../prisma/migrate-deploy.mjs" TargetMode="External" /><Relationship Type="http://schemas.openxmlformats.org/officeDocument/2006/relationships/hyperlink" Id="rId14" Target="../../prisma/migrations-postgresql/1_pgvector_and_partial_indexes/migration.sql" TargetMode="External" /><Relationship Type="http://schemas.openxmlformats.org/officeDocument/2006/relationships/hyperlink" Id="rId15" Target="../../prisma/schema.prisma" TargetMode="External" /><Relationship Type="http://schemas.openxmlformats.org/officeDocument/2006/relationships/hyperlink" Id="rId13" Target="../../prisma/sql/pgvector-and-partial-indexes.sql" TargetMode="External" /><Relationship Type="http://schemas.openxmlformats.org/officeDocument/2006/relationships/hyperlink" Id="rId12" Target="../../server/data/emissionsSql.ts" TargetMode="External" /><Relationship Type="http://schemas.openxmlformats.org/officeDocument/2006/relationships/hyperlink" Id="rId17" Target="../../server/data/migration/schemaMap.ts" TargetMode="External" /><Relationship Type="http://schemas.openxmlformats.org/officeDocument/2006/relationships/hyperlink" Id="rId19" Target="../../tests/client/adminShell.ui.test.tsx" TargetMode="External" /><Relationship Type="http://schemas.openxmlformats.org/officeDocument/2006/relationships/hyperlink" Id="rId21" Target="../../tests/client/helpers/renderWithAppShell.tsx" TargetMode="External" /><Relationship Type="http://schemas.openxmlformats.org/officeDocument/2006/relationships/hyperlink" Id="rId20" Target="../../tests/client/loginPage.ui.test.tsx" TargetMode="External" /><Relationship Type="http://schemas.openxmlformats.org/officeDocument/2006/relationships/hyperlink" Id="rId25" Target="../README.md" TargetMode="External" /><Relationship Type="http://schemas.openxmlformats.org/officeDocument/2006/relationships/hyperlink" Id="rId24" Target="../guides/application-features-guide.docx" TargetMode="External" /><Relationship Type="http://schemas.openxmlformats.org/officeDocument/2006/relationships/hyperlink" Id="rId23" Target="../guides/application-features-guide.md" TargetMode="External" /><Relationship Type="http://schemas.openxmlformats.org/officeDocument/2006/relationships/hyperlink" Id="rId26" Target="../guides/user-guide.md" TargetMode="External" /><Relationship Type="http://schemas.openxmlformats.org/officeDocument/2006/relationships/hyperlink" Id="rId27" Target="../qa/test-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../package.json" TargetMode="External" /><Relationship Type="http://schemas.openxmlformats.org/officeDocument/2006/relationships/hyperlink" Id="rId9" Target="../../prisma/migrate-deploy.mjs" TargetMode="External" /><Relationship Type="http://schemas.openxmlformats.org/officeDocument/2006/relationships/hyperlink" Id="rId14" Target="../../prisma/migrations-postgresql/1_pgvector_and_partial_indexes/migration.sql" TargetMode="External" /><Relationship Type="http://schemas.openxmlformats.org/officeDocument/2006/relationships/hyperlink" Id="rId15" Target="../../prisma/schema.prisma" TargetMode="External" /><Relationship Type="http://schemas.openxmlformats.org/officeDocument/2006/relationships/hyperlink" Id="rId13" Target="../../prisma/sql/pgvector-and-partial-indexes.sql" TargetMode="External" /><Relationship Type="http://schemas.openxmlformats.org/officeDocument/2006/relationships/hyperlink" Id="rId12" Target="../../server/data/emissionsSql.ts" TargetMode="External" /><Relationship Type="http://schemas.openxmlformats.org/officeDocument/2006/relationships/hyperlink" Id="rId17" Target="../../server/data/migration/schemaMap.ts" TargetMode="External" /><Relationship Type="http://schemas.openxmlformats.org/officeDocument/2006/relationships/hyperlink" Id="rId19" Target="../../tests/client/adminShell.ui.test.tsx" TargetMode="External" /><Relationship Type="http://schemas.openxmlformats.org/officeDocument/2006/relationships/hyperlink" Id="rId21" Target="../../tests/client/helpers/renderWithAppShell.tsx" TargetMode="External" /><Relationship Type="http://schemas.openxmlformats.org/officeDocument/2006/relationships/hyperlink" Id="rId20" Target="../../tests/client/loginPage.ui.test.tsx" TargetMode="External" /><Relationship Type="http://schemas.openxmlformats.org/officeDocument/2006/relationships/hyperlink" Id="rId25" Target="../README.md" TargetMode="External" /><Relationship Type="http://schemas.openxmlformats.org/officeDocument/2006/relationships/hyperlink" Id="rId24" Target="../guides/application-features-guide.docx" TargetMode="External" /><Relationship Type="http://schemas.openxmlformats.org/officeDocument/2006/relationships/hyperlink" Id="rId23" Target="../guides/application-features-guide.md" TargetMode="External" /><Relationship Type="http://schemas.openxmlformats.org/officeDocument/2006/relationships/hyperlink" Id="rId26" Target="../guides/user-guide.md" TargetMode="External" /><Relationship Type="http://schemas.openxmlformats.org/officeDocument/2006/relationships/hyperlink" Id="rId27" Target="../qa/test-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2026-09-09T13:57:49Z</dcterms:created>
  <dcterms:modified xsi:type="dcterms:W3CDTF">2026-09-09T13:57:49Z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