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4B6" w:rsidRPr="000E17F4" w:rsidRDefault="000E17F4">
      <w:pPr>
        <w:rPr>
          <w:sz w:val="32"/>
        </w:rPr>
      </w:pPr>
      <w:r w:rsidRPr="000E17F4">
        <w:rPr>
          <w:sz w:val="32"/>
        </w:rPr>
        <w:t>Sayfa 1 – başlık</w:t>
      </w:r>
    </w:p>
    <w:p w:rsidR="000E17F4" w:rsidRPr="000E17F4" w:rsidRDefault="000E17F4">
      <w:pPr>
        <w:rPr>
          <w:color w:val="FF0000"/>
          <w:sz w:val="32"/>
        </w:rPr>
      </w:pPr>
      <w:r w:rsidRPr="000E17F4">
        <w:rPr>
          <w:color w:val="FF0000"/>
          <w:sz w:val="32"/>
        </w:rPr>
        <w:t>SAYFA 2</w:t>
      </w:r>
    </w:p>
    <w:p w:rsidR="000E17F4" w:rsidRDefault="000E17F4">
      <w:pPr>
        <w:rPr>
          <w:color w:val="FF0000"/>
          <w:sz w:val="32"/>
        </w:rPr>
      </w:pPr>
      <w:r w:rsidRPr="000E17F4">
        <w:rPr>
          <w:color w:val="FF0000"/>
          <w:sz w:val="32"/>
        </w:rPr>
        <w:t>Ekonomik kriz nedir?</w:t>
      </w:r>
    </w:p>
    <w:p w:rsidR="000E17F4" w:rsidRPr="000E17F4" w:rsidRDefault="000E17F4" w:rsidP="000E17F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1"/>
        </w:rPr>
      </w:pPr>
      <w:r w:rsidRPr="000E17F4">
        <w:rPr>
          <w:rFonts w:ascii="Arial" w:hAnsi="Arial" w:cs="Arial"/>
          <w:color w:val="222222"/>
          <w:szCs w:val="21"/>
        </w:rPr>
        <w:t>Ekonominin temel yapı taşları olarak kabul edilen mal, hizmet, üretim, döviz fiyatları üzerinde kabul edilebilir sevilerin ötesinde yaşanan şiddetli dalgalanmalara</w:t>
      </w:r>
      <w:r w:rsidRPr="000E17F4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0E17F4">
        <w:rPr>
          <w:rFonts w:ascii="Arial" w:hAnsi="Arial" w:cs="Arial"/>
          <w:b/>
          <w:bCs/>
          <w:i/>
          <w:iCs/>
          <w:color w:val="222222"/>
          <w:szCs w:val="21"/>
        </w:rPr>
        <w:t>ekonomik kriz</w:t>
      </w:r>
      <w:r w:rsidRPr="000E17F4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0E17F4">
        <w:rPr>
          <w:rFonts w:ascii="Arial" w:hAnsi="Arial" w:cs="Arial"/>
          <w:color w:val="222222"/>
          <w:szCs w:val="21"/>
        </w:rPr>
        <w:t>adı verilmektedir.</w:t>
      </w:r>
    </w:p>
    <w:p w:rsidR="000E17F4" w:rsidRDefault="000E17F4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Bir ülkede politik ve/veya ekonomik nedenlerle ortaya çıkan ve ülkenin temel ekonomik yapısını temelden sarsan olaylardır.</w:t>
      </w:r>
    </w:p>
    <w:p w:rsidR="000E17F4" w:rsidRDefault="000E17F4"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Global ekonomik kriz, uluslararası ekonomide aniden ve beklenmedik bir şekilde ortaya çıkan olayların </w:t>
      </w:r>
      <w:r w:rsidRPr="000E17F4">
        <w:rPr>
          <w:rFonts w:ascii="Verdana" w:hAnsi="Verdana"/>
          <w:b/>
          <w:color w:val="000000"/>
          <w:sz w:val="27"/>
          <w:szCs w:val="27"/>
          <w:shd w:val="clear" w:color="auto" w:fill="FFFFFF"/>
        </w:rPr>
        <w:t>makro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açıdan ülke ekonomisini, </w:t>
      </w:r>
      <w:r w:rsidRPr="000E17F4">
        <w:rPr>
          <w:rFonts w:ascii="Verdana" w:hAnsi="Verdana"/>
          <w:b/>
          <w:color w:val="000000"/>
          <w:sz w:val="27"/>
          <w:szCs w:val="27"/>
          <w:shd w:val="clear" w:color="auto" w:fill="FFFFFF"/>
        </w:rPr>
        <w:t>mikro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açıdan ise firmaları ciddi anlamda sarsacak sonuçlar ortaya çıkarmasıdır.</w:t>
      </w:r>
    </w:p>
    <w:p w:rsidR="000E17F4" w:rsidRPr="000E17F4" w:rsidRDefault="000E17F4" w:rsidP="000E17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</w:pP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 xml:space="preserve">Mikro ekonomi özel pazarları ve ekonomik </w:t>
      </w:r>
      <w:proofErr w:type="spellStart"/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segmentleri</w:t>
      </w:r>
      <w:proofErr w:type="spellEnd"/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 xml:space="preserve"> inceleyen bilim dalıdır.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Tüketici davranışları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,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bireysel iş gücü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 pazarları ve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firmalar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 teorisi gibi konuları inceler.</w:t>
      </w:r>
    </w:p>
    <w:p w:rsidR="000E17F4" w:rsidRPr="000E17F4" w:rsidRDefault="000E17F4" w:rsidP="000E17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</w:pP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Makro ekonomi ise bütün bir ekonominin incelendiği bilim dalıdır. Toplumsal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arz-talep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,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ulusal gider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 ve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enflasyon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 gibi toplu değişkenleri inceler.</w:t>
      </w:r>
    </w:p>
    <w:p w:rsidR="000E17F4" w:rsidRPr="00CB2EEA" w:rsidRDefault="00CB2EEA">
      <w:pPr>
        <w:rPr>
          <w:color w:val="FF0000"/>
          <w:sz w:val="28"/>
        </w:rPr>
      </w:pPr>
      <w:r w:rsidRPr="00CB2EEA">
        <w:rPr>
          <w:color w:val="FF0000"/>
          <w:sz w:val="28"/>
        </w:rPr>
        <w:t xml:space="preserve">Sayfa 3 </w:t>
      </w:r>
    </w:p>
    <w:p w:rsidR="00CB2EEA" w:rsidRPr="00CB2EEA" w:rsidRDefault="00CB2EEA">
      <w:pPr>
        <w:rPr>
          <w:color w:val="FF0000"/>
          <w:sz w:val="28"/>
        </w:rPr>
      </w:pPr>
      <w:r w:rsidRPr="00CB2EEA">
        <w:rPr>
          <w:color w:val="FF0000"/>
          <w:sz w:val="28"/>
        </w:rPr>
        <w:t>Ekonomik Kriz Sebepleri</w:t>
      </w:r>
    </w:p>
    <w:p w:rsidR="00CB2EEA" w:rsidRPr="00CB2EEA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sz w:val="22"/>
          <w:szCs w:val="18"/>
        </w:rPr>
      </w:pPr>
      <w:proofErr w:type="spellStart"/>
      <w:r w:rsidRPr="00CB2EEA">
        <w:rPr>
          <w:rFonts w:ascii="Verdana" w:hAnsi="Verdana"/>
          <w:sz w:val="22"/>
          <w:szCs w:val="18"/>
        </w:rPr>
        <w:t>Irving</w:t>
      </w:r>
      <w:proofErr w:type="spellEnd"/>
      <w:r w:rsidRPr="00CB2EEA">
        <w:rPr>
          <w:rFonts w:ascii="Verdana" w:hAnsi="Verdana"/>
          <w:sz w:val="22"/>
          <w:szCs w:val="18"/>
        </w:rPr>
        <w:t xml:space="preserve"> </w:t>
      </w:r>
      <w:proofErr w:type="spellStart"/>
      <w:r w:rsidRPr="00CB2EEA">
        <w:rPr>
          <w:rFonts w:ascii="Verdana" w:hAnsi="Verdana"/>
          <w:sz w:val="22"/>
          <w:szCs w:val="18"/>
        </w:rPr>
        <w:t>Fisher</w:t>
      </w:r>
      <w:proofErr w:type="spellEnd"/>
      <w:r w:rsidRPr="00CB2EEA">
        <w:rPr>
          <w:rFonts w:ascii="Verdana" w:hAnsi="Verdana"/>
          <w:sz w:val="22"/>
          <w:szCs w:val="18"/>
        </w:rPr>
        <w:t xml:space="preserve"> gibi </w:t>
      </w:r>
      <w:proofErr w:type="spellStart"/>
      <w:r w:rsidRPr="00CB2EEA">
        <w:rPr>
          <w:rFonts w:ascii="Verdana" w:hAnsi="Verdana"/>
          <w:sz w:val="22"/>
          <w:szCs w:val="18"/>
        </w:rPr>
        <w:t>Minsky</w:t>
      </w:r>
      <w:proofErr w:type="spellEnd"/>
      <w:r w:rsidRPr="00CB2EEA">
        <w:rPr>
          <w:rFonts w:ascii="Verdana" w:hAnsi="Verdana"/>
          <w:sz w:val="22"/>
          <w:szCs w:val="18"/>
        </w:rPr>
        <w:t xml:space="preserve"> </w:t>
      </w:r>
      <w:proofErr w:type="gramStart"/>
      <w:r w:rsidRPr="00CB2EEA">
        <w:rPr>
          <w:rFonts w:ascii="Verdana" w:hAnsi="Verdana"/>
          <w:sz w:val="22"/>
          <w:szCs w:val="18"/>
        </w:rPr>
        <w:t>de,</w:t>
      </w:r>
      <w:proofErr w:type="gramEnd"/>
      <w:r w:rsidRPr="00CB2EEA">
        <w:rPr>
          <w:rFonts w:ascii="Verdana" w:hAnsi="Verdana"/>
          <w:sz w:val="22"/>
          <w:szCs w:val="18"/>
        </w:rPr>
        <w:t xml:space="preserve"> finansal zorlukların arka planında piyasanın borç yapısının </w:t>
      </w:r>
      <w:proofErr w:type="spellStart"/>
      <w:r w:rsidRPr="00CB2EEA">
        <w:rPr>
          <w:rFonts w:ascii="Verdana" w:hAnsi="Verdana"/>
          <w:sz w:val="22"/>
          <w:szCs w:val="18"/>
        </w:rPr>
        <w:t>oldugunu</w:t>
      </w:r>
      <w:proofErr w:type="spellEnd"/>
      <w:r w:rsidRPr="00CB2EEA">
        <w:rPr>
          <w:rFonts w:ascii="Verdana" w:hAnsi="Verdana"/>
          <w:sz w:val="22"/>
          <w:szCs w:val="18"/>
        </w:rPr>
        <w:t xml:space="preserve"> </w:t>
      </w:r>
      <w:proofErr w:type="spellStart"/>
      <w:r w:rsidRPr="00CB2EEA">
        <w:rPr>
          <w:rFonts w:ascii="Verdana" w:hAnsi="Verdana"/>
          <w:sz w:val="22"/>
          <w:szCs w:val="18"/>
        </w:rPr>
        <w:t>savunmustur</w:t>
      </w:r>
      <w:proofErr w:type="spellEnd"/>
      <w:r w:rsidRPr="00CB2EEA">
        <w:rPr>
          <w:rFonts w:ascii="Verdana" w:hAnsi="Verdana"/>
          <w:sz w:val="22"/>
          <w:szCs w:val="18"/>
        </w:rPr>
        <w:t xml:space="preserve">. </w:t>
      </w:r>
      <w:proofErr w:type="spellStart"/>
      <w:r w:rsidRPr="00CB2EEA">
        <w:rPr>
          <w:rFonts w:ascii="Verdana" w:hAnsi="Verdana"/>
          <w:sz w:val="22"/>
          <w:szCs w:val="18"/>
        </w:rPr>
        <w:t>Ponzi</w:t>
      </w:r>
      <w:proofErr w:type="spellEnd"/>
      <w:r w:rsidRPr="00CB2EEA">
        <w:rPr>
          <w:rFonts w:ascii="Verdana" w:hAnsi="Verdana"/>
          <w:sz w:val="22"/>
          <w:szCs w:val="18"/>
        </w:rPr>
        <w:t xml:space="preserve"> ve spekülatif finansmanın, toplam krediler içindeki oranı ne kadar fazla olursa, finansal kırılganlık o kadar artar. Finansman yapısını borç-gelir oranı </w:t>
      </w:r>
      <w:proofErr w:type="spellStart"/>
      <w:r w:rsidRPr="00CB2EEA">
        <w:rPr>
          <w:rFonts w:ascii="Verdana" w:hAnsi="Verdana"/>
          <w:sz w:val="22"/>
          <w:szCs w:val="18"/>
        </w:rPr>
        <w:t>belirledigine</w:t>
      </w:r>
      <w:proofErr w:type="spellEnd"/>
      <w:r w:rsidRPr="00CB2EEA">
        <w:rPr>
          <w:rFonts w:ascii="Verdana" w:hAnsi="Verdana"/>
          <w:sz w:val="22"/>
          <w:szCs w:val="18"/>
        </w:rPr>
        <w:t xml:space="preserve"> göre bu oran önem kazanmaktadır. Bu oranın belli bir noktaya yükselmesi ile firma ödeme yükümlülüklerini yerine getiremez hale gelir; bu durumda </w:t>
      </w:r>
      <w:proofErr w:type="gramStart"/>
      <w:r w:rsidRPr="00CB2EEA">
        <w:rPr>
          <w:rFonts w:ascii="Verdana" w:hAnsi="Verdana"/>
          <w:sz w:val="22"/>
          <w:szCs w:val="18"/>
        </w:rPr>
        <w:t>birim,</w:t>
      </w:r>
      <w:proofErr w:type="gramEnd"/>
      <w:r w:rsidRPr="00CB2EEA">
        <w:rPr>
          <w:rFonts w:ascii="Verdana" w:hAnsi="Verdana"/>
          <w:sz w:val="22"/>
          <w:szCs w:val="18"/>
        </w:rPr>
        <w:t xml:space="preserve"> ya borçlanacak ya da varlık satacaktır. Kötü </w:t>
      </w:r>
      <w:proofErr w:type="spellStart"/>
      <w:r w:rsidRPr="00CB2EEA">
        <w:rPr>
          <w:rFonts w:ascii="Verdana" w:hAnsi="Verdana"/>
          <w:sz w:val="22"/>
          <w:szCs w:val="18"/>
        </w:rPr>
        <w:t>sartlarda</w:t>
      </w:r>
      <w:proofErr w:type="spellEnd"/>
      <w:r w:rsidRPr="00CB2EEA">
        <w:rPr>
          <w:rFonts w:ascii="Verdana" w:hAnsi="Verdana"/>
          <w:sz w:val="22"/>
          <w:szCs w:val="18"/>
        </w:rPr>
        <w:t xml:space="preserve"> borçlanma da varlık satısı </w:t>
      </w:r>
      <w:proofErr w:type="gramStart"/>
      <w:r w:rsidRPr="00CB2EEA">
        <w:rPr>
          <w:rFonts w:ascii="Verdana" w:hAnsi="Verdana"/>
          <w:sz w:val="22"/>
          <w:szCs w:val="18"/>
        </w:rPr>
        <w:t>da,</w:t>
      </w:r>
      <w:proofErr w:type="gramEnd"/>
      <w:r w:rsidRPr="00CB2EEA">
        <w:rPr>
          <w:rFonts w:ascii="Verdana" w:hAnsi="Verdana"/>
          <w:sz w:val="22"/>
          <w:szCs w:val="18"/>
        </w:rPr>
        <w:t xml:space="preserve"> sermaye kaybı anlamına gelir ve sermaye kaybı ve kazancı simetrik </w:t>
      </w:r>
      <w:proofErr w:type="spellStart"/>
      <w:r w:rsidRPr="00CB2EEA">
        <w:rPr>
          <w:rFonts w:ascii="Verdana" w:hAnsi="Verdana"/>
          <w:sz w:val="22"/>
          <w:szCs w:val="18"/>
        </w:rPr>
        <w:t>degildir</w:t>
      </w:r>
      <w:proofErr w:type="spellEnd"/>
      <w:r w:rsidRPr="00CB2EEA">
        <w:rPr>
          <w:rFonts w:ascii="Verdana" w:hAnsi="Verdana"/>
          <w:sz w:val="22"/>
          <w:szCs w:val="18"/>
        </w:rPr>
        <w:t>. Belirli bir sınırdan sonra sermaye kayıpları tüketim ve yatırımda daralmaya yol açar ve bu da geliri yeniden azaltır. Böylece, zincirleme bir Borç – Deflasyon süreci baslar.</w:t>
      </w:r>
    </w:p>
    <w:p w:rsidR="00CB2EEA" w:rsidRPr="00CB2EEA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sz w:val="22"/>
          <w:szCs w:val="18"/>
        </w:rPr>
      </w:pPr>
      <w:r w:rsidRPr="00CB2EEA">
        <w:rPr>
          <w:rFonts w:ascii="Verdana" w:hAnsi="Verdana"/>
          <w:sz w:val="22"/>
          <w:szCs w:val="18"/>
        </w:rPr>
        <w:t xml:space="preserve">Ekonomi yazınında günümüzün en çok kabul gören yazarlarından </w:t>
      </w:r>
      <w:proofErr w:type="spellStart"/>
      <w:r w:rsidRPr="00CB2EEA">
        <w:rPr>
          <w:rFonts w:ascii="Verdana" w:hAnsi="Verdana"/>
          <w:sz w:val="22"/>
          <w:szCs w:val="18"/>
        </w:rPr>
        <w:t>Frederic</w:t>
      </w:r>
      <w:proofErr w:type="spellEnd"/>
      <w:r w:rsidRPr="00CB2EEA">
        <w:rPr>
          <w:rFonts w:ascii="Verdana" w:hAnsi="Verdana"/>
          <w:sz w:val="22"/>
          <w:szCs w:val="18"/>
        </w:rPr>
        <w:t xml:space="preserve"> S. </w:t>
      </w:r>
      <w:proofErr w:type="spellStart"/>
      <w:r w:rsidRPr="00CB2EEA">
        <w:rPr>
          <w:rFonts w:ascii="Verdana" w:hAnsi="Verdana"/>
          <w:sz w:val="22"/>
          <w:szCs w:val="18"/>
        </w:rPr>
        <w:t>Miskin’e</w:t>
      </w:r>
      <w:proofErr w:type="spellEnd"/>
      <w:r w:rsidRPr="00CB2EEA">
        <w:rPr>
          <w:rFonts w:ascii="Verdana" w:hAnsi="Verdana"/>
          <w:sz w:val="22"/>
          <w:szCs w:val="18"/>
        </w:rPr>
        <w:t xml:space="preserve"> göre ekonomik krizin temel sebepleri su dört faktördür;</w:t>
      </w:r>
    </w:p>
    <w:p w:rsidR="00CB2EEA" w:rsidRPr="00CB2EEA" w:rsidRDefault="00CB2EEA" w:rsidP="00CB2E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2"/>
          <w:szCs w:val="18"/>
        </w:rPr>
      </w:pPr>
      <w:r w:rsidRPr="00CB2EEA">
        <w:rPr>
          <w:rFonts w:ascii="Verdana" w:hAnsi="Verdana"/>
          <w:sz w:val="22"/>
          <w:szCs w:val="18"/>
        </w:rPr>
        <w:t>•</w:t>
      </w:r>
      <w:r w:rsidRPr="00CB2EEA">
        <w:rPr>
          <w:rFonts w:ascii="TTBB78o00" w:hAnsi="TTBB78o00"/>
          <w:sz w:val="22"/>
          <w:szCs w:val="18"/>
        </w:rPr>
        <w:t xml:space="preserve">Faiz oranlarındaki </w:t>
      </w:r>
      <w:proofErr w:type="spellStart"/>
      <w:r w:rsidRPr="00CB2EEA">
        <w:rPr>
          <w:rFonts w:ascii="TTBB78o00" w:hAnsi="TTBB78o00"/>
          <w:sz w:val="22"/>
          <w:szCs w:val="18"/>
        </w:rPr>
        <w:t>artıslar</w:t>
      </w:r>
      <w:proofErr w:type="spellEnd"/>
    </w:p>
    <w:p w:rsidR="00CB2EEA" w:rsidRPr="00CB2EEA" w:rsidRDefault="00CB2EEA" w:rsidP="00CB2E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2"/>
          <w:szCs w:val="18"/>
        </w:rPr>
      </w:pPr>
      <w:r w:rsidRPr="00CB2EEA">
        <w:rPr>
          <w:rFonts w:ascii="Verdana" w:hAnsi="Verdana"/>
          <w:sz w:val="22"/>
          <w:szCs w:val="18"/>
        </w:rPr>
        <w:t>•</w:t>
      </w:r>
      <w:r w:rsidRPr="00CB2EEA">
        <w:rPr>
          <w:rFonts w:ascii="TTBB78o00" w:hAnsi="TTBB78o00"/>
          <w:sz w:val="22"/>
          <w:szCs w:val="18"/>
        </w:rPr>
        <w:t xml:space="preserve">Belirsizliklerdeki </w:t>
      </w:r>
      <w:proofErr w:type="spellStart"/>
      <w:r w:rsidRPr="00CB2EEA">
        <w:rPr>
          <w:rFonts w:ascii="TTBB78o00" w:hAnsi="TTBB78o00"/>
          <w:sz w:val="22"/>
          <w:szCs w:val="18"/>
        </w:rPr>
        <w:t>artıslar</w:t>
      </w:r>
      <w:proofErr w:type="spellEnd"/>
    </w:p>
    <w:p w:rsidR="00CB2EEA" w:rsidRPr="00CB2EEA" w:rsidRDefault="00CB2EEA" w:rsidP="00CB2E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2"/>
          <w:szCs w:val="18"/>
        </w:rPr>
      </w:pPr>
      <w:r w:rsidRPr="00CB2EEA">
        <w:rPr>
          <w:rFonts w:ascii="Verdana" w:hAnsi="Verdana"/>
          <w:sz w:val="22"/>
          <w:szCs w:val="18"/>
        </w:rPr>
        <w:t>•</w:t>
      </w:r>
      <w:r w:rsidRPr="00CB2EEA">
        <w:rPr>
          <w:rFonts w:ascii="TTBB78o00" w:hAnsi="TTBB78o00"/>
          <w:sz w:val="22"/>
          <w:szCs w:val="18"/>
        </w:rPr>
        <w:t>Varlık piyasasının bilanço üzerindeki etkileri</w:t>
      </w:r>
    </w:p>
    <w:p w:rsidR="00CB2EEA" w:rsidRPr="00CB2EEA" w:rsidRDefault="00CB2EEA" w:rsidP="00CB2E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2"/>
          <w:szCs w:val="18"/>
        </w:rPr>
      </w:pPr>
      <w:r w:rsidRPr="00CB2EEA">
        <w:rPr>
          <w:rFonts w:ascii="Verdana" w:hAnsi="Verdana"/>
          <w:sz w:val="22"/>
          <w:szCs w:val="18"/>
        </w:rPr>
        <w:t>•</w:t>
      </w:r>
      <w:r w:rsidRPr="00CB2EEA">
        <w:rPr>
          <w:rFonts w:ascii="TTBB78o00" w:hAnsi="TTBB78o00"/>
          <w:sz w:val="22"/>
          <w:szCs w:val="18"/>
        </w:rPr>
        <w:t>Bankacılık sektöründeki problemler</w:t>
      </w:r>
    </w:p>
    <w:p w:rsidR="00CB2EEA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Mishkin’e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göre bu dört unsur ekonomik krizlerin temelini </w:t>
      </w:r>
      <w:proofErr w:type="spellStart"/>
      <w:r>
        <w:rPr>
          <w:rFonts w:ascii="Verdana" w:hAnsi="Verdana"/>
          <w:color w:val="555555"/>
          <w:sz w:val="18"/>
          <w:szCs w:val="18"/>
        </w:rPr>
        <w:t>olusturmaktadır</w:t>
      </w:r>
      <w:proofErr w:type="spellEnd"/>
      <w:r>
        <w:rPr>
          <w:rFonts w:ascii="Verdana" w:hAnsi="Verdana"/>
          <w:color w:val="555555"/>
          <w:sz w:val="18"/>
          <w:szCs w:val="18"/>
        </w:rPr>
        <w:t>.</w:t>
      </w:r>
    </w:p>
    <w:p w:rsidR="00CB2EEA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lastRenderedPageBreak/>
        <w:t>Mishkin’e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gramStart"/>
      <w:r>
        <w:rPr>
          <w:rFonts w:ascii="Verdana" w:hAnsi="Verdana"/>
          <w:color w:val="555555"/>
          <w:sz w:val="18"/>
          <w:szCs w:val="18"/>
        </w:rPr>
        <w:t>göre,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hem </w:t>
      </w:r>
      <w:proofErr w:type="spellStart"/>
      <w:r>
        <w:rPr>
          <w:rFonts w:ascii="Verdana" w:hAnsi="Verdana"/>
          <w:color w:val="555555"/>
          <w:sz w:val="18"/>
          <w:szCs w:val="18"/>
        </w:rPr>
        <w:t>gelismis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hem de </w:t>
      </w:r>
      <w:proofErr w:type="spellStart"/>
      <w:r>
        <w:rPr>
          <w:rFonts w:ascii="Verdana" w:hAnsi="Verdana"/>
          <w:color w:val="555555"/>
          <w:sz w:val="18"/>
          <w:szCs w:val="18"/>
        </w:rPr>
        <w:t>gelismekte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olan ülkelerde finansal </w:t>
      </w:r>
      <w:proofErr w:type="spellStart"/>
      <w:r>
        <w:rPr>
          <w:rFonts w:ascii="Verdana" w:hAnsi="Verdana"/>
          <w:color w:val="555555"/>
          <w:sz w:val="18"/>
          <w:szCs w:val="18"/>
        </w:rPr>
        <w:t>istikrarsızlıgın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baslamasında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4 önemli faktör rol oynamaktadır. Faiz oranlarında yükselme, banka bilançolarında </w:t>
      </w:r>
      <w:proofErr w:type="spellStart"/>
      <w:r>
        <w:rPr>
          <w:rFonts w:ascii="Verdana" w:hAnsi="Verdana"/>
          <w:color w:val="555555"/>
          <w:sz w:val="18"/>
          <w:szCs w:val="18"/>
        </w:rPr>
        <w:t>kötülesme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hisse senedi piyasasında </w:t>
      </w:r>
      <w:proofErr w:type="spellStart"/>
      <w:r>
        <w:rPr>
          <w:rFonts w:ascii="Verdana" w:hAnsi="Verdana"/>
          <w:color w:val="555555"/>
          <w:sz w:val="18"/>
          <w:szCs w:val="18"/>
        </w:rPr>
        <w:t>düsüs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ve </w:t>
      </w:r>
      <w:proofErr w:type="spellStart"/>
      <w:r>
        <w:rPr>
          <w:rFonts w:ascii="Verdana" w:hAnsi="Verdana"/>
          <w:color w:val="555555"/>
          <w:sz w:val="18"/>
          <w:szCs w:val="18"/>
        </w:rPr>
        <w:t>belirsizligin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artısı. Bu faktörlerden birinin ortaya çıkması, finansal krizleri tetikleyebilirken, hepsinin bir arada görülmesi krizin negatif etkilerinin büyütecek ve süresini artıracaktır. Bu dört unsurdan biri finansal krizin </w:t>
      </w:r>
      <w:proofErr w:type="spellStart"/>
      <w:r>
        <w:rPr>
          <w:rFonts w:ascii="Verdana" w:hAnsi="Verdana"/>
          <w:color w:val="555555"/>
          <w:sz w:val="18"/>
          <w:szCs w:val="18"/>
        </w:rPr>
        <w:t>baslaması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için yeterli olurken, birden fazla faktörün bir arada görülmesi krizi daha da </w:t>
      </w:r>
      <w:proofErr w:type="spellStart"/>
      <w:r>
        <w:rPr>
          <w:rFonts w:ascii="Verdana" w:hAnsi="Verdana"/>
          <w:color w:val="555555"/>
          <w:sz w:val="18"/>
          <w:szCs w:val="18"/>
        </w:rPr>
        <w:t>derinlestirecektir</w:t>
      </w:r>
      <w:proofErr w:type="spellEnd"/>
      <w:r>
        <w:rPr>
          <w:rFonts w:ascii="Verdana" w:hAnsi="Verdana"/>
          <w:color w:val="555555"/>
          <w:sz w:val="18"/>
          <w:szCs w:val="18"/>
        </w:rPr>
        <w:t>.</w:t>
      </w:r>
    </w:p>
    <w:p w:rsidR="00CB2EEA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Kronik ve yüksek enflasyon, devalüasyon, hükümetlerin radikal para politikaları, </w:t>
      </w:r>
      <w:proofErr w:type="spellStart"/>
      <w:r>
        <w:rPr>
          <w:rFonts w:ascii="Verdana" w:hAnsi="Verdana"/>
          <w:color w:val="555555"/>
          <w:sz w:val="18"/>
          <w:szCs w:val="18"/>
        </w:rPr>
        <w:t>dıs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ticaret dengesizlikleri, giderek artan iç ve </w:t>
      </w:r>
      <w:proofErr w:type="spellStart"/>
      <w:r>
        <w:rPr>
          <w:rFonts w:ascii="Verdana" w:hAnsi="Verdana"/>
          <w:color w:val="555555"/>
          <w:sz w:val="18"/>
          <w:szCs w:val="18"/>
        </w:rPr>
        <w:t>dıs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borç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vb</w:t>
      </w:r>
      <w:proofErr w:type="spellEnd"/>
      <w:proofErr w:type="gramEnd"/>
      <w:r>
        <w:rPr>
          <w:rFonts w:ascii="Verdana" w:hAnsi="Verdana"/>
          <w:color w:val="555555"/>
          <w:sz w:val="18"/>
          <w:szCs w:val="18"/>
        </w:rPr>
        <w:t xml:space="preserve"> ekonomik krizi </w:t>
      </w:r>
      <w:proofErr w:type="spellStart"/>
      <w:r>
        <w:rPr>
          <w:rFonts w:ascii="Verdana" w:hAnsi="Verdana"/>
          <w:color w:val="555555"/>
          <w:sz w:val="18"/>
          <w:szCs w:val="18"/>
        </w:rPr>
        <w:t>doguran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etkenlerden </w:t>
      </w:r>
      <w:proofErr w:type="spellStart"/>
      <w:r>
        <w:rPr>
          <w:rFonts w:ascii="Verdana" w:hAnsi="Verdana"/>
          <w:color w:val="555555"/>
          <w:sz w:val="18"/>
          <w:szCs w:val="18"/>
        </w:rPr>
        <w:t>baslıcalarıdır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. Kuskusuz ekonomik krizlerin dogmasında siyasal tercihlerin, karar ve kararsızlıklarının da katkısı yadsınamamaktadır. Ekonomik krizlerin </w:t>
      </w:r>
      <w:proofErr w:type="spellStart"/>
      <w:r>
        <w:rPr>
          <w:rFonts w:ascii="Verdana" w:hAnsi="Verdana"/>
          <w:color w:val="555555"/>
          <w:sz w:val="18"/>
          <w:szCs w:val="18"/>
        </w:rPr>
        <w:t>geçmisten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 günümüze </w:t>
      </w:r>
      <w:proofErr w:type="spellStart"/>
      <w:r>
        <w:rPr>
          <w:rFonts w:ascii="Verdana" w:hAnsi="Verdana"/>
          <w:color w:val="555555"/>
          <w:sz w:val="18"/>
          <w:szCs w:val="18"/>
        </w:rPr>
        <w:t>olusum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nedeni </w:t>
      </w:r>
      <w:proofErr w:type="spellStart"/>
      <w:r>
        <w:rPr>
          <w:rFonts w:ascii="Verdana" w:hAnsi="Verdana"/>
          <w:color w:val="555555"/>
          <w:sz w:val="18"/>
          <w:szCs w:val="18"/>
        </w:rPr>
        <w:t>arastırıldıgında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sorunun genellikle finans kesimi ile ödemeler dengesi üzerinde </w:t>
      </w:r>
      <w:proofErr w:type="spellStart"/>
      <w:r>
        <w:rPr>
          <w:rFonts w:ascii="Verdana" w:hAnsi="Verdana"/>
          <w:color w:val="555555"/>
          <w:sz w:val="18"/>
          <w:szCs w:val="18"/>
        </w:rPr>
        <w:t>yogunlastıgı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görülmektedir. Birbirlerine de sıçrama </w:t>
      </w:r>
      <w:proofErr w:type="spellStart"/>
      <w:r>
        <w:rPr>
          <w:rFonts w:ascii="Verdana" w:hAnsi="Verdana"/>
          <w:color w:val="555555"/>
          <w:sz w:val="18"/>
          <w:szCs w:val="18"/>
        </w:rPr>
        <w:t>özelligi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gösteren bu sorunları zaman zaman tüm ülkelerin dönemsel de olsa yasadıkları görülmektedir.</w:t>
      </w:r>
    </w:p>
    <w:p w:rsidR="00CB2EEA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Bu durum global piyasalardan </w:t>
      </w:r>
      <w:proofErr w:type="spellStart"/>
      <w:r>
        <w:rPr>
          <w:rFonts w:ascii="Verdana" w:hAnsi="Verdana"/>
          <w:color w:val="555555"/>
          <w:sz w:val="18"/>
          <w:szCs w:val="18"/>
        </w:rPr>
        <w:t>kaynaklandıgı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gibi, ülkelerdeki siyasal otoritenin tercihlerindeki hatalardan da ileri gelebilmektedir. Çünkü ekonomik kararlar büyük ölçüde siyasal tercihlerle de orantılıdır.</w:t>
      </w:r>
    </w:p>
    <w:p w:rsidR="00CB2EEA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Ekonomik krizler çok </w:t>
      </w:r>
      <w:proofErr w:type="spellStart"/>
      <w:r>
        <w:rPr>
          <w:rFonts w:ascii="Verdana" w:hAnsi="Verdana"/>
          <w:color w:val="555555"/>
          <w:sz w:val="18"/>
          <w:szCs w:val="18"/>
        </w:rPr>
        <w:t>degisik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sekillerde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ortaya çıkabilir. Üretimde hızlı daralma, fiyatlar genel seviyesinde ani </w:t>
      </w:r>
      <w:proofErr w:type="spellStart"/>
      <w:r>
        <w:rPr>
          <w:rFonts w:ascii="Verdana" w:hAnsi="Verdana"/>
          <w:color w:val="555555"/>
          <w:sz w:val="18"/>
          <w:szCs w:val="18"/>
        </w:rPr>
        <w:t>düsme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iflaslar, </w:t>
      </w:r>
      <w:proofErr w:type="spellStart"/>
      <w:r>
        <w:rPr>
          <w:rFonts w:ascii="Verdana" w:hAnsi="Verdana"/>
          <w:color w:val="555555"/>
          <w:sz w:val="18"/>
          <w:szCs w:val="18"/>
        </w:rPr>
        <w:t>issizlik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oranında ani </w:t>
      </w:r>
      <w:proofErr w:type="spellStart"/>
      <w:r>
        <w:rPr>
          <w:rFonts w:ascii="Verdana" w:hAnsi="Verdana"/>
          <w:color w:val="555555"/>
          <w:sz w:val="18"/>
          <w:szCs w:val="18"/>
        </w:rPr>
        <w:t>artıs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ücretlerde gerileme, borsada </w:t>
      </w:r>
      <w:proofErr w:type="spellStart"/>
      <w:r>
        <w:rPr>
          <w:rFonts w:ascii="Verdana" w:hAnsi="Verdana"/>
          <w:color w:val="555555"/>
          <w:sz w:val="18"/>
          <w:szCs w:val="18"/>
        </w:rPr>
        <w:t>çöküs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, spekülatif hareketler </w:t>
      </w:r>
      <w:proofErr w:type="spellStart"/>
      <w:proofErr w:type="gramStart"/>
      <w:r>
        <w:rPr>
          <w:rFonts w:ascii="Verdana" w:hAnsi="Verdana"/>
          <w:color w:val="555555"/>
          <w:sz w:val="18"/>
          <w:szCs w:val="18"/>
        </w:rPr>
        <w:t>vb</w:t>
      </w:r>
      <w:proofErr w:type="spellEnd"/>
      <w:proofErr w:type="gramEnd"/>
      <w:r>
        <w:rPr>
          <w:rFonts w:ascii="Verdana" w:hAnsi="Verdana"/>
          <w:color w:val="555555"/>
          <w:sz w:val="18"/>
          <w:szCs w:val="18"/>
        </w:rPr>
        <w:t xml:space="preserve"> faktörler ekonomik krizlerin </w:t>
      </w:r>
      <w:proofErr w:type="spellStart"/>
      <w:r>
        <w:rPr>
          <w:rFonts w:ascii="Verdana" w:hAnsi="Verdana"/>
          <w:color w:val="555555"/>
          <w:sz w:val="18"/>
          <w:szCs w:val="18"/>
        </w:rPr>
        <w:t>baslıca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örnekleridir. Ekonomik krizler, reele ve finansal sektörlerde arz </w:t>
      </w:r>
      <w:proofErr w:type="spellStart"/>
      <w:r>
        <w:rPr>
          <w:rFonts w:ascii="Verdana" w:hAnsi="Verdana"/>
          <w:color w:val="555555"/>
          <w:sz w:val="18"/>
          <w:szCs w:val="18"/>
        </w:rPr>
        <w:t>fazlalıgı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veya talep daralmasından kaynaklanabilir. Gerek </w:t>
      </w:r>
      <w:proofErr w:type="gramStart"/>
      <w:r>
        <w:rPr>
          <w:rFonts w:ascii="Verdana" w:hAnsi="Verdana"/>
          <w:color w:val="555555"/>
          <w:sz w:val="18"/>
          <w:szCs w:val="18"/>
        </w:rPr>
        <w:t>arz,</w:t>
      </w:r>
      <w:proofErr w:type="gramEnd"/>
      <w:r>
        <w:rPr>
          <w:rFonts w:ascii="Verdana" w:hAnsi="Verdana"/>
          <w:color w:val="555555"/>
          <w:sz w:val="18"/>
          <w:szCs w:val="18"/>
        </w:rPr>
        <w:t xml:space="preserve"> gerekse talep krizinin ortaya çıkmasının </w:t>
      </w:r>
      <w:proofErr w:type="spellStart"/>
      <w:r>
        <w:rPr>
          <w:rFonts w:ascii="Verdana" w:hAnsi="Verdana"/>
          <w:color w:val="555555"/>
          <w:sz w:val="18"/>
          <w:szCs w:val="18"/>
        </w:rPr>
        <w:t>çesitli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nedenleri bulunmaktadır. Ekonomik krizler, organizasyon </w:t>
      </w:r>
      <w:proofErr w:type="spellStart"/>
      <w:r>
        <w:rPr>
          <w:rFonts w:ascii="Verdana" w:hAnsi="Verdana"/>
          <w:color w:val="555555"/>
          <w:sz w:val="18"/>
          <w:szCs w:val="18"/>
        </w:rPr>
        <w:t>dısı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konjonktürel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nedenlerden </w:t>
      </w:r>
      <w:proofErr w:type="spellStart"/>
      <w:r>
        <w:rPr>
          <w:rFonts w:ascii="Verdana" w:hAnsi="Verdana"/>
          <w:color w:val="555555"/>
          <w:sz w:val="18"/>
          <w:szCs w:val="18"/>
        </w:rPr>
        <w:t>kaynaklanabilecegi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gibi organizasyon içi nedenlerden de kaynaklanabilir.</w:t>
      </w:r>
    </w:p>
    <w:p w:rsidR="00CB2EEA" w:rsidRDefault="00CB2EEA">
      <w:pPr>
        <w:rPr>
          <w:sz w:val="28"/>
        </w:rPr>
      </w:pPr>
    </w:p>
    <w:p w:rsidR="00A603FC" w:rsidRPr="00A603FC" w:rsidRDefault="00A603FC">
      <w:pPr>
        <w:rPr>
          <w:color w:val="FF0000"/>
          <w:sz w:val="28"/>
        </w:rPr>
      </w:pPr>
      <w:r w:rsidRPr="00A603FC">
        <w:rPr>
          <w:color w:val="FF0000"/>
          <w:sz w:val="28"/>
        </w:rPr>
        <w:t xml:space="preserve">Sayfa 4 </w:t>
      </w:r>
    </w:p>
    <w:p w:rsidR="00A603FC" w:rsidRPr="00A603FC" w:rsidRDefault="00A603FC">
      <w:pPr>
        <w:rPr>
          <w:color w:val="FF0000"/>
          <w:sz w:val="28"/>
        </w:rPr>
      </w:pPr>
      <w:r w:rsidRPr="00A603FC">
        <w:rPr>
          <w:color w:val="FF0000"/>
          <w:sz w:val="28"/>
        </w:rPr>
        <w:t>Ekonomik Kriz sonuçları etkileri</w:t>
      </w:r>
    </w:p>
    <w:p w:rsidR="00A603FC" w:rsidRP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enflasyon</w:t>
      </w:r>
      <w:proofErr w:type="gramEnd"/>
    </w:p>
    <w:p w:rsidR="00A603FC" w:rsidRPr="00A603FC" w:rsidRDefault="00A603FC" w:rsidP="00A603F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A603FC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1</w:t>
      </w:r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A603FC" w:rsidRP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A603FC">
        <w:rPr>
          <w:rFonts w:ascii="Arial" w:eastAsia="Times New Roman" w:hAnsi="Arial" w:cs="Arial"/>
          <w:caps/>
          <w:color w:val="777777"/>
          <w:sz w:val="20"/>
          <w:szCs w:val="20"/>
          <w:shd w:val="clear" w:color="auto" w:fill="EEEEEE"/>
          <w:lang w:eastAsia="tr-TR"/>
        </w:rPr>
        <w:t>ECO.</w:t>
      </w:r>
    </w:p>
    <w:p w:rsidR="00A603FC" w:rsidRP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dolanımda</w:t>
      </w:r>
      <w:proofErr w:type="gramEnd"/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bulunan para miktarıyla, malların ve satın alınabilir hizmetlerin toplamı arasındaki açığın büyümesi nedeniyle ortaya çıkan ve fiyatların toptan yükselişi, para değerinin düşmesi biçiminde kendini gösteren ekonomik ve parasal süreç.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294"/>
      </w:tblGrid>
      <w:tr w:rsidR="00A603FC" w:rsidRPr="00A603FC" w:rsidTr="00A603F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A603FC" w:rsidRPr="00A603FC" w:rsidRDefault="00A603FC" w:rsidP="00A603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</w:pPr>
            <w:proofErr w:type="gramStart"/>
            <w:r w:rsidRPr="00A603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eş</w:t>
            </w:r>
            <w:proofErr w:type="gramEnd"/>
            <w:r w:rsidRPr="00A603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anlamlısı: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03FC" w:rsidRPr="00A603FC" w:rsidRDefault="00A603FC" w:rsidP="00A60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6" w:history="1">
              <w:proofErr w:type="gramStart"/>
              <w:r w:rsidRPr="00A603FC">
                <w:rPr>
                  <w:rFonts w:ascii="Times New Roman" w:eastAsia="Times New Roman" w:hAnsi="Times New Roman" w:cs="Times New Roman"/>
                  <w:color w:val="660099"/>
                  <w:sz w:val="24"/>
                  <w:szCs w:val="24"/>
                  <w:u w:val="single"/>
                  <w:lang w:eastAsia="tr-TR"/>
                </w:rPr>
                <w:t>paraşişkinliği</w:t>
              </w:r>
              <w:proofErr w:type="gramEnd"/>
            </w:hyperlink>
          </w:p>
        </w:tc>
      </w:tr>
    </w:tbl>
    <w:p w:rsidR="00A603FC" w:rsidRPr="00A603FC" w:rsidRDefault="00A603FC" w:rsidP="00A603F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A603FC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2</w:t>
      </w:r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A603FC" w:rsidRP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A603FC">
        <w:rPr>
          <w:rFonts w:ascii="Arial" w:eastAsia="Times New Roman" w:hAnsi="Arial" w:cs="Arial"/>
          <w:i/>
          <w:iCs/>
          <w:color w:val="222222"/>
          <w:sz w:val="24"/>
          <w:szCs w:val="24"/>
          <w:lang w:eastAsia="tr-TR"/>
        </w:rPr>
        <w:t>halk</w:t>
      </w:r>
      <w:proofErr w:type="gramEnd"/>
      <w:r w:rsidRPr="00A603FC">
        <w:rPr>
          <w:rFonts w:ascii="Arial" w:eastAsia="Times New Roman" w:hAnsi="Arial" w:cs="Arial"/>
          <w:i/>
          <w:iCs/>
          <w:color w:val="222222"/>
          <w:sz w:val="24"/>
          <w:szCs w:val="24"/>
          <w:lang w:eastAsia="tr-TR"/>
        </w:rPr>
        <w:t xml:space="preserve"> ağzından</w:t>
      </w:r>
    </w:p>
    <w:p w:rsid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yaşam</w:t>
      </w:r>
      <w:proofErr w:type="gramEnd"/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pahalılığı.</w:t>
      </w:r>
    </w:p>
    <w:p w:rsid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081F69" w:rsidRPr="00081F69" w:rsidRDefault="00081F69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tr-TR"/>
        </w:rPr>
      </w:pPr>
      <w:r w:rsidRPr="00081F69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Sayfa 8</w:t>
      </w:r>
    </w:p>
    <w:p w:rsidR="00081F69" w:rsidRPr="00A603FC" w:rsidRDefault="00081F69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081F69" w:rsidRPr="00081F69" w:rsidRDefault="00081F69" w:rsidP="00081F69">
      <w:pPr>
        <w:rPr>
          <w:color w:val="FF0000"/>
          <w:sz w:val="28"/>
        </w:rPr>
      </w:pPr>
      <w:proofErr w:type="spellStart"/>
      <w:r w:rsidRPr="00081F69">
        <w:rPr>
          <w:color w:val="FF0000"/>
          <w:sz w:val="28"/>
        </w:rPr>
        <w:t>So</w:t>
      </w:r>
      <w:proofErr w:type="spellEnd"/>
      <w:r w:rsidRPr="00081F69">
        <w:rPr>
          <w:color w:val="FF0000"/>
          <w:sz w:val="28"/>
        </w:rPr>
        <w:t xml:space="preserve">, How </w:t>
      </w:r>
      <w:proofErr w:type="spellStart"/>
      <w:r w:rsidRPr="00081F69">
        <w:rPr>
          <w:color w:val="FF0000"/>
          <w:sz w:val="28"/>
        </w:rPr>
        <w:t>about</w:t>
      </w:r>
      <w:proofErr w:type="spellEnd"/>
      <w:r w:rsidRPr="00081F69">
        <w:rPr>
          <w:color w:val="FF0000"/>
          <w:sz w:val="28"/>
        </w:rPr>
        <w:t xml:space="preserve"> the </w:t>
      </w:r>
      <w:proofErr w:type="spellStart"/>
      <w:r w:rsidRPr="00081F69">
        <w:rPr>
          <w:color w:val="FF0000"/>
          <w:sz w:val="28"/>
        </w:rPr>
        <w:t>future</w:t>
      </w:r>
      <w:proofErr w:type="spellEnd"/>
      <w:r w:rsidRPr="00081F69">
        <w:rPr>
          <w:color w:val="FF0000"/>
          <w:sz w:val="28"/>
        </w:rPr>
        <w:t>?</w:t>
      </w:r>
    </w:p>
    <w:p w:rsidR="008D1736" w:rsidRPr="008D1736" w:rsidRDefault="008D1736" w:rsidP="008D1736">
      <w:pPr>
        <w:rPr>
          <w:sz w:val="28"/>
        </w:rPr>
      </w:pPr>
      <w:proofErr w:type="spellStart"/>
      <w:r w:rsidRPr="008D1736">
        <w:rPr>
          <w:b/>
          <w:bCs/>
          <w:sz w:val="28"/>
        </w:rPr>
        <w:t>Individual</w:t>
      </w:r>
      <w:proofErr w:type="spellEnd"/>
      <w:r w:rsidRPr="008D1736">
        <w:rPr>
          <w:b/>
          <w:bCs/>
          <w:sz w:val="28"/>
        </w:rPr>
        <w:t xml:space="preserve"> Economic Crisis</w:t>
      </w:r>
      <w:r w:rsidRPr="008D1736">
        <w:rPr>
          <w:sz w:val="28"/>
        </w:rPr>
        <w:t xml:space="preserve"> is expected </w:t>
      </w:r>
      <w:proofErr w:type="spellStart"/>
      <w:r w:rsidRPr="008D1736">
        <w:rPr>
          <w:sz w:val="28"/>
        </w:rPr>
        <w:t>instead</w:t>
      </w:r>
      <w:proofErr w:type="spellEnd"/>
      <w:r w:rsidRPr="008D1736">
        <w:rPr>
          <w:sz w:val="28"/>
        </w:rPr>
        <w:t xml:space="preserve"> of Global Economic Crisis </w:t>
      </w:r>
      <w:proofErr w:type="spellStart"/>
      <w:r w:rsidRPr="008D1736">
        <w:rPr>
          <w:sz w:val="28"/>
        </w:rPr>
        <w:t>by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economists</w:t>
      </w:r>
      <w:proofErr w:type="spellEnd"/>
      <w:r w:rsidRPr="008D1736">
        <w:rPr>
          <w:sz w:val="28"/>
        </w:rPr>
        <w:t>.</w:t>
      </w:r>
    </w:p>
    <w:p w:rsidR="008D1736" w:rsidRPr="008D1736" w:rsidRDefault="008D1736" w:rsidP="008D1736">
      <w:pPr>
        <w:rPr>
          <w:sz w:val="28"/>
        </w:rPr>
      </w:pPr>
      <w:proofErr w:type="spellStart"/>
      <w:r w:rsidRPr="008D1736">
        <w:rPr>
          <w:sz w:val="28"/>
        </w:rPr>
        <w:t>It</w:t>
      </w:r>
      <w:proofErr w:type="spellEnd"/>
      <w:r w:rsidRPr="008D1736">
        <w:rPr>
          <w:sz w:val="28"/>
        </w:rPr>
        <w:t xml:space="preserve"> is a </w:t>
      </w:r>
      <w:proofErr w:type="spellStart"/>
      <w:r w:rsidRPr="008D1736">
        <w:rPr>
          <w:sz w:val="28"/>
        </w:rPr>
        <w:t>financial</w:t>
      </w:r>
      <w:proofErr w:type="spellEnd"/>
      <w:r w:rsidRPr="008D1736">
        <w:rPr>
          <w:sz w:val="28"/>
        </w:rPr>
        <w:t xml:space="preserve"> crisis in </w:t>
      </w:r>
      <w:proofErr w:type="spellStart"/>
      <w:r w:rsidRPr="008D1736">
        <w:rPr>
          <w:sz w:val="28"/>
        </w:rPr>
        <w:t>which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individuals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who</w:t>
      </w:r>
      <w:proofErr w:type="spellEnd"/>
      <w:r w:rsidRPr="008D1736">
        <w:rPr>
          <w:sz w:val="28"/>
        </w:rPr>
        <w:t xml:space="preserve"> is </w:t>
      </w:r>
      <w:proofErr w:type="spellStart"/>
      <w:r w:rsidRPr="008D1736">
        <w:rPr>
          <w:sz w:val="28"/>
        </w:rPr>
        <w:t>living</w:t>
      </w:r>
      <w:proofErr w:type="spellEnd"/>
      <w:r w:rsidRPr="008D1736">
        <w:rPr>
          <w:sz w:val="28"/>
        </w:rPr>
        <w:t xml:space="preserve"> in </w:t>
      </w:r>
      <w:proofErr w:type="spellStart"/>
      <w:r w:rsidRPr="008D1736">
        <w:rPr>
          <w:sz w:val="28"/>
        </w:rPr>
        <w:t>that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country</w:t>
      </w:r>
      <w:proofErr w:type="spellEnd"/>
      <w:r w:rsidRPr="008D1736">
        <w:rPr>
          <w:sz w:val="28"/>
        </w:rPr>
        <w:t xml:space="preserve">, </w:t>
      </w:r>
      <w:proofErr w:type="spellStart"/>
      <w:r w:rsidRPr="008D1736">
        <w:rPr>
          <w:sz w:val="28"/>
        </w:rPr>
        <w:t>are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unbalanced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spending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and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overtaking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extremly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borrowing</w:t>
      </w:r>
      <w:proofErr w:type="spellEnd"/>
      <w:r w:rsidRPr="008D1736">
        <w:rPr>
          <w:sz w:val="28"/>
        </w:rPr>
        <w:t xml:space="preserve"> </w:t>
      </w:r>
    </w:p>
    <w:p w:rsidR="00A603FC" w:rsidRDefault="00A603FC">
      <w:pPr>
        <w:rPr>
          <w:sz w:val="28"/>
        </w:rPr>
      </w:pPr>
    </w:p>
    <w:p w:rsidR="008D1736" w:rsidRPr="008D1736" w:rsidRDefault="008D1736">
      <w:pPr>
        <w:rPr>
          <w:color w:val="FF0000"/>
          <w:sz w:val="28"/>
        </w:rPr>
      </w:pPr>
      <w:r w:rsidRPr="008D1736">
        <w:rPr>
          <w:color w:val="FF0000"/>
          <w:sz w:val="28"/>
        </w:rPr>
        <w:t xml:space="preserve">Sayfa 9: </w:t>
      </w:r>
    </w:p>
    <w:p w:rsidR="008D1736" w:rsidRPr="008D1736" w:rsidRDefault="008D1736" w:rsidP="008D1736">
      <w:pPr>
        <w:rPr>
          <w:color w:val="FF0000"/>
          <w:sz w:val="28"/>
        </w:rPr>
      </w:pPr>
      <w:proofErr w:type="spellStart"/>
      <w:r w:rsidRPr="008D1736">
        <w:rPr>
          <w:color w:val="FF0000"/>
          <w:sz w:val="28"/>
        </w:rPr>
        <w:t>Think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about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Unbalanced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Spending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and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Overtaking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Barrowing</w:t>
      </w:r>
      <w:proofErr w:type="spellEnd"/>
    </w:p>
    <w:p w:rsidR="008D1736" w:rsidRDefault="008D1736">
      <w:pPr>
        <w:rPr>
          <w:sz w:val="28"/>
        </w:rPr>
      </w:pPr>
      <w:r>
        <w:rPr>
          <w:sz w:val="28"/>
        </w:rPr>
        <w:tab/>
      </w:r>
      <w:r w:rsidRPr="008D1736">
        <w:rPr>
          <w:sz w:val="28"/>
        </w:rPr>
        <w:drawing>
          <wp:inline distT="0" distB="0" distL="0" distR="0" wp14:anchorId="6BA386A1" wp14:editId="7B70B68F">
            <wp:extent cx="1907862" cy="2482697"/>
            <wp:effectExtent l="0" t="0" r="0" b="0"/>
            <wp:docPr id="1028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62" cy="248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1560"/>
      </w:tblGrid>
      <w:tr w:rsidR="008D1736" w:rsidRPr="008D1736" w:rsidTr="008D1736">
        <w:tc>
          <w:tcPr>
            <w:tcW w:w="2268" w:type="dxa"/>
            <w:shd w:val="clear" w:color="auto" w:fill="002060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Kredi Kartı Sayısı</w:t>
            </w:r>
          </w:p>
        </w:tc>
        <w:tc>
          <w:tcPr>
            <w:tcW w:w="1560" w:type="dxa"/>
            <w:shd w:val="clear" w:color="auto" w:fill="002060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Adet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2002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15.705.370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2004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26.863.167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2006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29.978.243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2008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43.394.025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2010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46.956.124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2012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54.342.148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2014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56.787.886</w:t>
            </w:r>
          </w:p>
        </w:tc>
      </w:tr>
    </w:tbl>
    <w:p w:rsidR="008D1736" w:rsidRPr="00CB2EEA" w:rsidRDefault="008D1736">
      <w:pPr>
        <w:rPr>
          <w:sz w:val="28"/>
        </w:rPr>
      </w:pPr>
      <w:bookmarkStart w:id="0" w:name="_GoBack"/>
      <w:bookmarkEnd w:id="0"/>
    </w:p>
    <w:sectPr w:rsidR="008D1736" w:rsidRPr="00CB2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TBB78o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91E45"/>
    <w:multiLevelType w:val="multilevel"/>
    <w:tmpl w:val="E1E6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D3E4B"/>
    <w:multiLevelType w:val="multilevel"/>
    <w:tmpl w:val="0492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70"/>
    <w:rsid w:val="00081F69"/>
    <w:rsid w:val="000E17F4"/>
    <w:rsid w:val="002354B6"/>
    <w:rsid w:val="008D1736"/>
    <w:rsid w:val="00A603FC"/>
    <w:rsid w:val="00CB2EEA"/>
    <w:rsid w:val="00ED6270"/>
    <w:rsid w:val="00F6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3FBD"/>
  <w15:chartTrackingRefBased/>
  <w15:docId w15:val="{4EB5A2A1-D8D1-4FED-9B15-4476A8E7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0E17F4"/>
  </w:style>
  <w:style w:type="character" w:styleId="Gl">
    <w:name w:val="Strong"/>
    <w:basedOn w:val="VarsaylanParagrafYazTipi"/>
    <w:uiPriority w:val="22"/>
    <w:qFormat/>
    <w:rsid w:val="000E17F4"/>
    <w:rPr>
      <w:b/>
      <w:bCs/>
    </w:rPr>
  </w:style>
  <w:style w:type="paragraph" w:styleId="NormalWeb">
    <w:name w:val="Normal (Web)"/>
    <w:basedOn w:val="Normal"/>
    <w:uiPriority w:val="99"/>
    <w:unhideWhenUsed/>
    <w:rsid w:val="000E1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lrdctlblblk">
    <w:name w:val="lr_dct_lbl_blk"/>
    <w:basedOn w:val="VarsaylanParagrafYazTipi"/>
    <w:rsid w:val="00A603FC"/>
  </w:style>
  <w:style w:type="character" w:styleId="Kpr">
    <w:name w:val="Hyperlink"/>
    <w:basedOn w:val="VarsaylanParagrafYazTipi"/>
    <w:uiPriority w:val="99"/>
    <w:semiHidden/>
    <w:unhideWhenUsed/>
    <w:rsid w:val="00A603FC"/>
    <w:rPr>
      <w:color w:val="0000FF"/>
      <w:u w:val="single"/>
    </w:rPr>
  </w:style>
  <w:style w:type="table" w:styleId="TabloKlavuzu">
    <w:name w:val="Table Grid"/>
    <w:basedOn w:val="NormalTablo"/>
    <w:uiPriority w:val="39"/>
    <w:rsid w:val="008D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468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0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93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9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5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tr/search?q=para%C5%9Fi%C5%9Fkinli%C4%9Fi+anlam%C4%B1&amp;forcedict=para%C5%9Fi%C5%9Fkinli%C4%9Fi&amp;sa=X&amp;ved=0ahUKEwiSz6fSyvLSAhXqJZoKHeb2CZMQ_SoIHjA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0AD99-76C3-4C37-AA5E-DF5D1AA0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Okto_Hakke</dc:creator>
  <cp:keywords/>
  <dc:description/>
  <cp:lastModifiedBy>Okto_Hakke</cp:lastModifiedBy>
  <cp:revision>3</cp:revision>
  <dcterms:created xsi:type="dcterms:W3CDTF">2017-03-25T20:37:00Z</dcterms:created>
  <dcterms:modified xsi:type="dcterms:W3CDTF">2017-03-25T23:38:00Z</dcterms:modified>
</cp:coreProperties>
</file>