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eastAsia="Times New Roman" w:cs="Times New Roman"/>
          <w:b/>
          <w:bCs/>
          <w:color w:val="000000"/>
          <w:kern w:val="0"/>
          <w:lang w:val="tr-TR" w:eastAsia="en-GB"/>
          <w14:ligatures w14:val="none"/>
        </w:rPr>
      </w:pP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r>
        <w:rPr>
          <w:rFonts w:ascii="Times New Roman" w:hAnsi="Times New Roman" w:eastAsia="Times New Roman" w:cs="Times New Roman"/>
          <w:b/>
          <w:bCs/>
          <w:color w:val="000000"/>
          <w:kern w:val="0"/>
          <w:lang w:val="tr-TR" w:eastAsia="en-GB"/>
          <w14:ligatures w14:val="none"/>
        </w:rPr>
        <w:tab/>
      </w:r>
    </w:p>
    <w:p>
      <w:pPr>
        <w:spacing w:line="276" w:lineRule="auto"/>
        <w:jc w:val="center"/>
        <w:rPr>
          <w:rFonts w:ascii="Times New Roman" w:hAnsi="Times New Roman" w:eastAsia="Times New Roman" w:cs="Times New Roman"/>
          <w:b/>
          <w:bCs/>
          <w:color w:val="000000"/>
          <w:kern w:val="0"/>
          <w:lang w:val="tr-TR" w:eastAsia="en-GB"/>
          <w14:ligatures w14:val="none"/>
        </w:rPr>
      </w:pPr>
    </w:p>
    <w:p>
      <w:pPr>
        <w:spacing w:line="276" w:lineRule="auto"/>
        <w:jc w:val="center"/>
        <w:rPr>
          <w:rFonts w:ascii="Times New Roman" w:hAnsi="Times New Roman" w:eastAsia="Times New Roman" w:cs="Times New Roman"/>
          <w:kern w:val="0"/>
          <w:lang w:eastAsia="en-GB"/>
          <w14:ligatures w14:val="none"/>
        </w:rPr>
      </w:pP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lang w:val="tr-TR" w:eastAsia="en-GB"/>
          <w14:ligatures w14:val="none"/>
        </w:rPr>
        <w:t xml:space="preserve"> NÖBETÇİ SULH CEZA HAKİMLİĞİNE</w:t>
      </w:r>
    </w:p>
    <w:p>
      <w:pPr>
        <w:spacing w:line="276" w:lineRule="auto"/>
        <w:jc w:val="center"/>
        <w:rPr>
          <w:rFonts w:ascii="Times New Roman" w:hAnsi="Times New Roman" w:eastAsia="Times New Roman" w:cs="Times New Roman"/>
          <w:b/>
          <w:bCs/>
          <w:color w:val="000000"/>
          <w:kern w:val="0"/>
          <w:lang w:eastAsia="en-GB"/>
          <w14:ligatures w14:val="none"/>
        </w:rPr>
      </w:pPr>
    </w:p>
    <w:p>
      <w:pPr>
        <w:spacing w:line="276" w:lineRule="auto"/>
        <w:jc w:val="center"/>
        <w:rPr>
          <w:rFonts w:ascii="Times New Roman" w:hAnsi="Times New Roman" w:eastAsia="Times New Roman" w:cs="Times New Roman"/>
          <w:kern w:val="0"/>
          <w:lang w:val="tr-TR" w:eastAsia="en-GB"/>
          <w14:ligatures w14:val="none"/>
        </w:rPr>
      </w:pPr>
      <w:r>
        <w:rPr>
          <w:rFonts w:ascii="Times New Roman" w:hAnsi="Times New Roman" w:eastAsia="Times New Roman" w:cs="Times New Roman"/>
          <w:b/>
          <w:bCs/>
          <w:color w:val="000000"/>
          <w:kern w:val="0"/>
          <w:lang w:val="tr-TR" w:eastAsia="en-GB"/>
          <w14:ligatures w14:val="none"/>
        </w:rPr>
        <w:t>Soruşturma</w:t>
      </w:r>
      <w:r>
        <w:rPr>
          <w:rFonts w:ascii="Times New Roman" w:hAnsi="Times New Roman" w:eastAsia="Times New Roman" w:cs="Times New Roman"/>
          <w:b/>
          <w:bCs/>
          <w:color w:val="000000"/>
          <w:kern w:val="0"/>
          <w:lang w:eastAsia="en-GB"/>
          <w14:ligatures w14:val="none"/>
        </w:rPr>
        <w:t xml:space="preserve"> N</w:t>
      </w:r>
      <w:r>
        <w:rPr>
          <w:rFonts w:ascii="Times New Roman" w:hAnsi="Times New Roman" w:eastAsia="Times New Roman" w:cs="Times New Roman"/>
          <w:b/>
          <w:bCs/>
          <w:color w:val="000000"/>
          <w:kern w:val="0"/>
          <w:lang w:val="tr-TR" w:eastAsia="en-GB"/>
          <w14:ligatures w14:val="none"/>
        </w:rPr>
        <w:t>o</w:t>
      </w:r>
      <w:r>
        <w:rPr>
          <w:rFonts w:ascii="Times New Roman" w:hAnsi="Times New Roman" w:eastAsia="Times New Roman" w:cs="Times New Roman"/>
          <w:b/>
          <w:bCs/>
          <w:color w:val="000000"/>
          <w:kern w:val="0"/>
          <w:lang w:eastAsia="en-GB"/>
          <w14:ligatures w14:val="none"/>
        </w:rPr>
        <w:t xml:space="preserve">: </w:t>
      </w:r>
      <w:r>
        <w:rPr>
          <w:rFonts w:ascii="Times New Roman" w:hAnsi="Times New Roman" w:eastAsia="Times New Roman" w:cs="Times New Roman"/>
          <w:b/>
          <w:bCs/>
          <w:color w:val="000000"/>
          <w:kern w:val="0"/>
          <w:highlight w:val="yellow"/>
          <w:lang w:eastAsia="en-GB"/>
          <w14:ligatures w14:val="none"/>
        </w:rPr>
        <w:t>20.</w:t>
      </w:r>
      <w:r>
        <w:rPr>
          <w:rFonts w:ascii="Times New Roman" w:hAnsi="Times New Roman" w:eastAsia="Times New Roman" w:cs="Times New Roman"/>
          <w:b/>
          <w:bCs/>
          <w:color w:val="000000"/>
          <w:kern w:val="0"/>
          <w:highlight w:val="yellow"/>
          <w:lang w:val="tr-TR" w:eastAsia="en-GB"/>
          <w14:ligatures w14:val="none"/>
        </w:rPr>
        <w:t>.</w:t>
      </w:r>
      <w:r>
        <w:rPr>
          <w:rFonts w:ascii="Times New Roman" w:hAnsi="Times New Roman" w:eastAsia="Times New Roman" w:cs="Times New Roman"/>
          <w:b/>
          <w:bCs/>
          <w:color w:val="000000"/>
          <w:kern w:val="0"/>
          <w:highlight w:val="yellow"/>
          <w:lang w:eastAsia="en-GB"/>
          <w14:ligatures w14:val="none"/>
        </w:rPr>
        <w:t xml:space="preserve"> /…..</w:t>
      </w:r>
    </w:p>
    <w:p>
      <w:pPr>
        <w:spacing w:after="240" w:line="276" w:lineRule="auto"/>
        <w:rPr>
          <w:rFonts w:ascii="Times New Roman" w:hAnsi="Times New Roman" w:eastAsia="Times New Roman" w:cs="Times New Roman"/>
          <w:b/>
          <w:bCs/>
          <w:kern w:val="0"/>
          <w:lang w:eastAsia="en-GB"/>
          <w14:ligatures w14:val="none"/>
        </w:rPr>
      </w:pPr>
      <w:r>
        <w:rPr>
          <w:rFonts w:ascii="Times New Roman" w:hAnsi="Times New Roman" w:eastAsia="Times New Roman" w:cs="Times New Roman"/>
          <w:b/>
          <w:bCs/>
          <w:kern w:val="0"/>
          <w:lang w:val="tr-TR" w:eastAsia="en-GB"/>
          <w14:ligatures w14:val="none"/>
        </w:rPr>
        <w:t xml:space="preserve">                                                      Sorgu No: 20../….</w:t>
      </w:r>
      <w:r>
        <w:rPr>
          <w:rFonts w:ascii="Times New Roman" w:hAnsi="Times New Roman" w:eastAsia="Times New Roman" w:cs="Times New Roman"/>
          <w:kern w:val="0"/>
          <w:lang w:val="tr-TR" w:eastAsia="en-GB"/>
          <w14:ligatures w14:val="none"/>
        </w:rPr>
        <w:t xml:space="preserve">                          </w:t>
      </w:r>
      <w:r>
        <w:rPr>
          <w:rFonts w:ascii="Times New Roman" w:hAnsi="Times New Roman" w:eastAsia="Times New Roman" w:cs="Times New Roman"/>
          <w:b/>
          <w:bCs/>
          <w:kern w:val="0"/>
          <w:lang w:eastAsia="en-GB"/>
          <w14:ligatures w14:val="none"/>
        </w:rPr>
        <w:br w:type="textWrapping"/>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TAHLİYE TALEBİNDE </w:t>
      </w:r>
    </w:p>
    <w:p>
      <w:pPr>
        <w:spacing w:line="276" w:lineRule="auto"/>
        <w:jc w:val="both"/>
        <w:rPr>
          <w:rFonts w:ascii="Times New Roman" w:hAnsi="Times New Roman" w:eastAsia="Times New Roman" w:cs="Times New Roman"/>
          <w:b/>
          <w:bCs/>
          <w:color w:val="000000"/>
          <w:kern w:val="0"/>
          <w:u w:val="single"/>
          <w:lang w:val="tr-TR" w:eastAsia="en-GB"/>
          <w14:ligatures w14:val="none"/>
        </w:rPr>
      </w:pPr>
      <w:r>
        <w:rPr>
          <w:rFonts w:ascii="Times New Roman" w:hAnsi="Times New Roman" w:eastAsia="Times New Roman" w:cs="Times New Roman"/>
          <w:b/>
          <w:bCs/>
          <w:color w:val="000000"/>
          <w:kern w:val="0"/>
          <w:u w:val="single"/>
          <w:lang w:val="tr-TR" w:eastAsia="en-GB"/>
          <w14:ligatures w14:val="none"/>
        </w:rPr>
        <w:t xml:space="preserve">BULUNAN ŞÜPHELİ                     </w:t>
      </w:r>
      <w:r>
        <w:rPr>
          <w:rFonts w:ascii="Times New Roman" w:hAnsi="Times New Roman" w:eastAsia="Times New Roman" w:cs="Times New Roman"/>
          <w:b/>
          <w:bCs/>
          <w:color w:val="000000"/>
          <w:kern w:val="0"/>
          <w:u w:val="single"/>
          <w:lang w:eastAsia="en-GB"/>
          <w14:ligatures w14:val="none"/>
        </w:rPr>
        <w:t>:</w:t>
      </w:r>
      <w:r>
        <w:rPr>
          <w:rFonts w:ascii="Times New Roman" w:hAnsi="Times New Roman" w:eastAsia="Times New Roman" w:cs="Times New Roman"/>
          <w:b/>
          <w:bCs/>
          <w:color w:val="000000"/>
          <w:kern w:val="0"/>
          <w:u w:val="single"/>
          <w:lang w:val="tr-TR" w:eastAsia="en-GB"/>
          <w14:ligatures w14:val="none"/>
        </w:rPr>
        <w:t xml:space="preserve"> </w:t>
      </w:r>
      <w:r>
        <w:rPr>
          <w:rFonts w:ascii="Times New Roman" w:hAnsi="Times New Roman" w:eastAsia="Times New Roman" w:cs="Times New Roman"/>
          <w:b/>
          <w:bCs/>
          <w:color w:val="000000"/>
          <w:kern w:val="0"/>
          <w:highlight w:val="yellow"/>
          <w:u w:val="single"/>
          <w:lang w:val="tr-TR" w:eastAsia="en-GB"/>
          <w14:ligatures w14:val="none"/>
        </w:rPr>
        <w:t>Ad Soyad TC</w:t>
      </w:r>
      <w:r>
        <w:rPr>
          <w:rFonts w:ascii="Times New Roman" w:hAnsi="Times New Roman" w:eastAsia="Times New Roman" w:cs="Times New Roman"/>
          <w:kern w:val="0"/>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p>
    <w:p>
      <w:pPr>
        <w:spacing w:line="276" w:lineRule="auto"/>
        <w:jc w:val="both"/>
        <w:rPr>
          <w:rFonts w:ascii="Times New Roman" w:hAnsi="Times New Roman" w:cs="Times New Roman"/>
          <w:iCs/>
          <w:lang w:val="tr-TR"/>
        </w:rPr>
      </w:pPr>
      <w:r>
        <w:rPr>
          <w:rFonts w:ascii="Times New Roman" w:hAnsi="Times New Roman" w:eastAsia="Times New Roman" w:cs="Times New Roman"/>
          <w:b/>
          <w:bCs/>
          <w:color w:val="262626"/>
          <w:kern w:val="0"/>
          <w:u w:val="single"/>
          <w:lang w:val="tr-TR" w:eastAsia="en-GB"/>
          <w14:ligatures w14:val="none"/>
        </w:rPr>
        <w:t xml:space="preserve">KONUSU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color w:val="262626"/>
          <w:kern w:val="0"/>
          <w:lang w:eastAsia="en-GB"/>
          <w14:ligatures w14:val="none"/>
        </w:rPr>
        <w:t xml:space="preserve"> </w:t>
      </w:r>
      <w:r>
        <w:rPr>
          <w:rFonts w:ascii="Times New Roman" w:hAnsi="Times New Roman" w:cs="Times New Roman"/>
          <w:iCs/>
          <w:lang w:val="tr-TR"/>
        </w:rPr>
        <w:t xml:space="preserve">AİHM tarafından 26 Eylül 2023 tarihinde açıklanan Yalçınkaya/Türkiye kararı dikkate alınarak, tutukluluk kararının kaldırılarak TAHLİYE kararı verilmesi talebi hakkındadır. </w:t>
      </w:r>
    </w:p>
    <w:p>
      <w:pPr>
        <w:spacing w:line="276" w:lineRule="auto"/>
        <w:jc w:val="both"/>
        <w:rPr>
          <w:rFonts w:ascii="Times New Roman" w:hAnsi="Times New Roman" w:cs="Times New Roman"/>
          <w:iCs/>
          <w:lang w:val="tr-TR"/>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cs="Times New Roman"/>
          <w:b/>
          <w:bCs/>
          <w:iCs/>
          <w:lang w:val="tr-TR"/>
        </w:rPr>
        <w:t>Tutuklama Tarihi</w:t>
      </w:r>
      <w:r>
        <w:rPr>
          <w:rFonts w:ascii="Times New Roman" w:hAnsi="Times New Roman" w:cs="Times New Roman"/>
          <w:iCs/>
          <w:lang w:val="tr-TR"/>
        </w:rPr>
        <w:t xml:space="preserve">                              :</w:t>
      </w:r>
    </w:p>
    <w:p>
      <w:pPr>
        <w:spacing w:line="276" w:lineRule="auto"/>
        <w:rPr>
          <w:rFonts w:ascii="Times New Roman" w:hAnsi="Times New Roman" w:eastAsia="Times New Roman" w:cs="Times New Roman"/>
          <w:kern w:val="0"/>
          <w:lang w:val="tr-TR" w:eastAsia="en-GB"/>
          <w14:ligatures w14:val="none"/>
        </w:rPr>
      </w:pPr>
    </w:p>
    <w:p>
      <w:pPr>
        <w:spacing w:line="276" w:lineRule="auto"/>
        <w:jc w:val="both"/>
        <w:rPr>
          <w:rFonts w:ascii="Times New Roman" w:hAnsi="Times New Roman" w:eastAsia="Times New Roman" w:cs="Times New Roman"/>
          <w:b/>
          <w:bCs/>
          <w:color w:val="262626"/>
          <w:kern w:val="0"/>
          <w:u w:val="single"/>
          <w:lang w:val="tr-TR" w:eastAsia="en-GB"/>
          <w14:ligatures w14:val="none"/>
        </w:rPr>
      </w:pPr>
      <w:r>
        <w:rPr>
          <w:rFonts w:ascii="Times New Roman" w:hAnsi="Times New Roman" w:eastAsia="Times New Roman" w:cs="Times New Roman"/>
          <w:b/>
          <w:bCs/>
          <w:color w:val="262626"/>
          <w:kern w:val="0"/>
          <w:u w:val="single"/>
          <w:lang w:eastAsia="en-GB"/>
          <w14:ligatures w14:val="none"/>
        </w:rPr>
        <w:t>AÇIKLAMALAR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 xml:space="preserve"> </w:t>
      </w:r>
      <w:r>
        <w:rPr>
          <w:rFonts w:ascii="Times New Roman" w:hAnsi="Times New Roman" w:eastAsia="Times New Roman" w:cs="Times New Roman"/>
          <w:b/>
          <w:bCs/>
          <w:color w:val="262626"/>
          <w:kern w:val="0"/>
          <w:u w:val="single"/>
          <w:lang w:val="tr-TR" w:eastAsia="en-GB"/>
          <w14:ligatures w14:val="none"/>
        </w:rPr>
        <w:t xml:space="preserve">  </w:t>
      </w:r>
      <w:r>
        <w:rPr>
          <w:rFonts w:ascii="Times New Roman" w:hAnsi="Times New Roman" w:eastAsia="Times New Roman" w:cs="Times New Roman"/>
          <w:b/>
          <w:bCs/>
          <w:color w:val="262626"/>
          <w:kern w:val="0"/>
          <w:u w:val="single"/>
          <w:lang w:eastAsia="en-GB"/>
          <w14:ligatures w14:val="none"/>
        </w:rPr>
        <w:t>:</w:t>
      </w:r>
      <w:r>
        <w:rPr>
          <w:rFonts w:ascii="Times New Roman" w:hAnsi="Times New Roman" w:eastAsia="Times New Roman" w:cs="Times New Roman"/>
          <w:b/>
          <w:bCs/>
          <w:color w:val="262626"/>
          <w:kern w:val="0"/>
          <w:u w:val="single"/>
          <w:lang w:val="tr-TR" w:eastAsia="en-GB"/>
          <w14:ligatures w14:val="none"/>
        </w:rPr>
        <w:t xml:space="preserve"> </w:t>
      </w:r>
    </w:p>
    <w:p>
      <w:pPr>
        <w:spacing w:line="276" w:lineRule="auto"/>
        <w:jc w:val="both"/>
        <w:rPr>
          <w:rFonts w:ascii="Times New Roman" w:hAnsi="Times New Roman" w:eastAsia="Times New Roman" w:cs="Times New Roman"/>
          <w:b/>
          <w:bCs/>
          <w:color w:val="262626"/>
          <w:kern w:val="0"/>
          <w:u w:val="single"/>
          <w:lang w:val="tr-TR" w:eastAsia="en-GB"/>
          <w14:ligatures w14:val="none"/>
        </w:rPr>
      </w:pPr>
      <w:bookmarkStart w:id="0" w:name="_GoBack"/>
      <w:bookmarkEnd w:id="0"/>
    </w:p>
    <w:p>
      <w:pPr>
        <w:spacing w:line="276" w:lineRule="auto"/>
        <w:jc w:val="both"/>
        <w:rPr>
          <w:rFonts w:ascii="Times New Roman" w:hAnsi="Times New Roman" w:eastAsia="Times New Roman" w:cs="Times New Roman"/>
          <w:color w:val="262626"/>
          <w:kern w:val="0"/>
          <w:lang w:val="tr-TR" w:eastAsia="en-GB"/>
          <w14:ligatures w14:val="none"/>
        </w:rPr>
      </w:pPr>
      <w:r>
        <w:rPr>
          <w:rFonts w:hint="default" w:ascii="Times New Roman" w:hAnsi="Times New Roman" w:eastAsia="Times New Roman" w:cs="Times New Roman"/>
          <w:color w:val="262626"/>
          <w:kern w:val="0"/>
          <w:highlight w:val="none"/>
          <w:lang w:val="en-US" w:eastAsia="en-GB"/>
          <w14:ligatures w14:val="none"/>
        </w:rPr>
        <w:t>Hak</w:t>
      </w:r>
      <w:r>
        <w:rPr>
          <w:rFonts w:hint="default" w:ascii="Times New Roman" w:hAnsi="Times New Roman" w:eastAsia="Times New Roman" w:cs="Times New Roman"/>
          <w:color w:val="262626"/>
          <w:kern w:val="0"/>
          <w:highlight w:val="none"/>
          <w:lang w:val="tr-TR" w:eastAsia="en-GB"/>
          <w14:ligatures w14:val="none"/>
        </w:rPr>
        <w:t>kımda</w:t>
      </w:r>
      <w:r>
        <w:rPr>
          <w:rFonts w:ascii="Times New Roman" w:hAnsi="Times New Roman" w:eastAsia="Times New Roman" w:cs="Times New Roman"/>
          <w:color w:val="262626"/>
          <w:kern w:val="0"/>
          <w:lang w:val="tr-TR" w:eastAsia="en-GB"/>
          <w14:ligatures w14:val="none"/>
        </w:rPr>
        <w:t xml:space="preserve"> </w:t>
      </w:r>
      <w:r>
        <w:rPr>
          <w:rFonts w:ascii="Times New Roman" w:hAnsi="Times New Roman" w:eastAsia="Times New Roman" w:cs="Times New Roman"/>
          <w:color w:val="262626"/>
          <w:kern w:val="0"/>
          <w:highlight w:val="yellow"/>
          <w:lang w:val="tr-TR" w:eastAsia="en-GB"/>
          <w14:ligatures w14:val="none"/>
        </w:rPr>
        <w:t>….. tarihli</w:t>
      </w:r>
      <w:r>
        <w:rPr>
          <w:rFonts w:ascii="Times New Roman" w:hAnsi="Times New Roman" w:eastAsia="Times New Roman" w:cs="Times New Roman"/>
          <w:color w:val="262626"/>
          <w:kern w:val="0"/>
          <w:lang w:val="tr-TR" w:eastAsia="en-GB"/>
          <w14:ligatures w14:val="none"/>
        </w:rPr>
        <w:t xml:space="preserve"> sorgu neticesinde </w:t>
      </w:r>
      <w:r>
        <w:rPr>
          <w:rFonts w:ascii="Times New Roman" w:hAnsi="Times New Roman" w:eastAsia="Times New Roman" w:cs="Times New Roman"/>
          <w:color w:val="262626"/>
          <w:kern w:val="0"/>
          <w:highlight w:val="yellow"/>
          <w:lang w:val="tr-TR" w:eastAsia="en-GB"/>
          <w14:ligatures w14:val="none"/>
        </w:rPr>
        <w:t>terör örgütü üyesi</w:t>
      </w:r>
      <w:r>
        <w:rPr>
          <w:rFonts w:ascii="Times New Roman" w:hAnsi="Times New Roman" w:eastAsia="Times New Roman" w:cs="Times New Roman"/>
          <w:color w:val="262626"/>
          <w:kern w:val="0"/>
          <w:lang w:val="tr-TR" w:eastAsia="en-GB"/>
          <w14:ligatures w14:val="none"/>
        </w:rPr>
        <w:t xml:space="preserve"> olma suçundan tutuklama kararı verildi. Emniyette alınan ifadede sorulan sorular ve Sulh Ceza Hakimliği tarafından verilen karara göre </w:t>
      </w:r>
      <w:r>
        <w:rPr>
          <w:rFonts w:ascii="Times New Roman" w:hAnsi="Times New Roman" w:eastAsia="Times New Roman" w:cs="Times New Roman"/>
          <w:color w:val="262626"/>
          <w:kern w:val="0"/>
          <w:highlight w:val="yellow"/>
          <w:lang w:val="tr-TR" w:eastAsia="en-GB"/>
          <w14:ligatures w14:val="none"/>
        </w:rPr>
        <w:t>Bylock kullanma, Bankasya’da hesabın olması, dernek, sendika üyesi olmak, sohbetlere katılma, sohbet yapma, gazete abonesi olma</w:t>
      </w:r>
      <w:r>
        <w:rPr>
          <w:rFonts w:ascii="Times New Roman" w:hAnsi="Times New Roman" w:eastAsia="Times New Roman" w:cs="Times New Roman"/>
          <w:color w:val="262626"/>
          <w:kern w:val="0"/>
          <w:lang w:val="tr-TR" w:eastAsia="en-GB"/>
          <w14:ligatures w14:val="none"/>
        </w:rPr>
        <w:t xml:space="preserve"> nedenleri gerekçe gösterilerek </w:t>
      </w:r>
      <w:r>
        <w:rPr>
          <w:rFonts w:ascii="Times New Roman" w:hAnsi="Times New Roman" w:eastAsia="Times New Roman" w:cs="Times New Roman"/>
          <w:color w:val="262626"/>
          <w:kern w:val="0"/>
          <w:highlight w:val="yellow"/>
          <w:lang w:val="tr-TR" w:eastAsia="en-GB"/>
          <w14:ligatures w14:val="none"/>
        </w:rPr>
        <w:t>terör örgütü üyesi</w:t>
      </w:r>
      <w:r>
        <w:rPr>
          <w:rFonts w:ascii="Times New Roman" w:hAnsi="Times New Roman" w:eastAsia="Times New Roman" w:cs="Times New Roman"/>
          <w:color w:val="262626"/>
          <w:kern w:val="0"/>
          <w:lang w:val="tr-TR" w:eastAsia="en-GB"/>
          <w14:ligatures w14:val="none"/>
        </w:rPr>
        <w:t xml:space="preserve"> olarak suçlandım ve tutuklandım. </w:t>
      </w: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r>
        <w:rPr>
          <w:rFonts w:ascii="Times New Roman" w:hAnsi="Times New Roman" w:eastAsia="Times New Roman" w:cs="Times New Roman"/>
          <w:color w:val="262626"/>
          <w:kern w:val="0"/>
          <w:lang w:val="tr-TR" w:eastAsia="en-GB"/>
          <w14:ligatures w14:val="none"/>
        </w:rPr>
        <w:t>Tutuklama kararı verilmesinden sonra tüm suçlamayı boşa çıkartacak bir gelişme yaşandı. Avrupa İnsan Hakları Mahkemesi Büyük Dairesi tarafından benim dosyamı da doğrudan ilgilendiren bir karar verildi.  26 Eylül 2023 tarihinde Avrupa İnsan Hakları Mahkemesi Büyük Dairesi tarafından verilen Yalçınkaya/Türkiye kararında, AİHS’nin 6,7 ve 11. maddelerinde yer alan hakların ihlal edildiği belirtilerek benzer nitelikteki dosyalar için emsal olan yeni bir karar verildi. Kararın AİHM önünde olan 8.000 üzerindeki dosya için ve Türkiye’de bulunan 100.000’in üzerinde dosya için emsal nitelikte olduğu açıkça belirtilmiştir. Kararda yer alan tüm isnatların Sulh Ceza Hakimliği tarafından verilen tutuklama kararına gerekçe yapılan isnatlarla birebir aynı olması ve AİHM kararlarının bağlayıcı olduğu hususu dikkate alınarak TAHLİYEME   karar verilmesi gerekmektedir. Şöyle ki;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1"/>
        </w:numPr>
        <w:spacing w:line="276" w:lineRule="auto"/>
        <w:jc w:val="both"/>
        <w:rPr>
          <w:rFonts w:ascii="Times New Roman" w:hAnsi="Times New Roman" w:eastAsia="Times New Roman" w:cs="Times New Roman"/>
          <w:b/>
          <w:bCs/>
          <w:color w:val="262626"/>
          <w:sz w:val="24"/>
          <w:szCs w:val="24"/>
          <w:u w:val="single"/>
          <w:lang w:eastAsia="en-GB"/>
        </w:rPr>
      </w:pPr>
      <w:r>
        <w:rPr>
          <w:rFonts w:ascii="Times New Roman" w:hAnsi="Times New Roman" w:eastAsia="Times New Roman" w:cs="Times New Roman"/>
          <w:b/>
          <w:bCs/>
          <w:color w:val="262626"/>
          <w:sz w:val="24"/>
          <w:szCs w:val="24"/>
          <w:u w:val="single"/>
          <w:lang w:eastAsia="en-GB"/>
        </w:rPr>
        <w:t>AİHM Yalçınkaya Kararı İçeriği;</w:t>
      </w:r>
    </w:p>
    <w:p>
      <w:pPr>
        <w:spacing w:line="276" w:lineRule="auto"/>
        <w:jc w:val="both"/>
        <w:rPr>
          <w:rFonts w:ascii="Times New Roman" w:hAnsi="Times New Roman" w:eastAsia="Times New Roman" w:cs="Times New Roman"/>
          <w:color w:val="262626"/>
          <w:kern w:val="0"/>
          <w:lang w:val="tr-TR" w:eastAsia="en-GB"/>
          <w14:ligatures w14:val="none"/>
        </w:rPr>
      </w:pP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Kayseri’de bir devlet okulunda öğretmen olan Yüksel Yalçınkaya hakkında, 6 Ocak 2017 tarihinde Kayseri Cumhuriyet Başsavcılığı tarafından terör örgütü üyeliği suçlamasıyla dava açılmıştır (prg. 37). İddianamede; </w:t>
      </w:r>
      <w:r>
        <w:rPr>
          <w:rFonts w:ascii="Times New Roman" w:hAnsi="Times New Roman" w:cs="Times New Roman"/>
          <w:iCs/>
          <w:sz w:val="24"/>
          <w:szCs w:val="24"/>
          <w:u w:val="single"/>
          <w:lang w:val="tr"/>
        </w:rPr>
        <w:t>Bylock uygulamasını kullandığı, Bank Asya’da hesabının olduğu ve hesaba para yatırıldığı, 667 sayılı KHK ile kapatılan Aktif Eğitim-Sen Sendikasının ve Kayseri Gönüllü Eğitimciler Derneği'nin üyesi olduğu, 672 sayılı KHK ile kamu görevinden ihraç edildiği ve isimsiz bir telefon ihbarından örgüt üyesi olduğuna dair bilgi alınması</w:t>
      </w:r>
      <w:r>
        <w:rPr>
          <w:rFonts w:ascii="Times New Roman" w:hAnsi="Times New Roman" w:cs="Times New Roman"/>
          <w:iCs/>
          <w:sz w:val="24"/>
          <w:szCs w:val="24"/>
          <w:lang w:val="tr"/>
        </w:rPr>
        <w:t xml:space="preserve">, suç delili olarak gösterilmiştir (prg. 53).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Kayseri Ağır Ceza Mahkemesi 21 Mart 2017 tarihli duruşmada silahlı terör örgütüne üyelik suçundan altı yıl üç ay hapis cezası vermiştir (prg 63). Mahkûmiyet kararı</w:t>
      </w:r>
      <w:r>
        <w:rPr>
          <w:rFonts w:ascii="Times New Roman" w:hAnsi="Times New Roman" w:cs="Times New Roman"/>
          <w:bCs/>
          <w:sz w:val="24"/>
          <w:szCs w:val="24"/>
        </w:rPr>
        <w:t xml:space="preserve">, başvurucunun, "ByLock" adlı şifreli bir mesajlaşma uygulamasını kullanmasına, Bank Asya'da hesabının olmasına, KHK ile kapatılan bir sendika (Aktif Eğitimciler Sendikası) ve derneğe (Kayseri Gönüllü Eğitimciler Derneği) üye olmasına dayandırılmıştır (prg 68, 69, 70).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 xml:space="preserve">Mahkumiyet gerekçesi olarak MGK açıklamaları </w:t>
      </w:r>
      <w:r>
        <w:rPr>
          <w:rFonts w:ascii="Times New Roman" w:hAnsi="Times New Roman" w:cs="Times New Roman"/>
          <w:iCs/>
          <w:sz w:val="24"/>
          <w:szCs w:val="24"/>
          <w:lang w:val="tr"/>
        </w:rPr>
        <w:t xml:space="preserve">(prg. 108), MİT tarafından hazırlanan Bylock teknik raporu (prg. 114), KOM tarafından hazırlanan Bylock raporu, Siber güvenlik uzmanları tarafından hazırlanan Bylock  (prg. 123) ve İngiliz bir firma tarafından hazırlanan Bylock raporunun (prg. 128) gösterildiği kararda anlatılmıştır.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Başvurucu, yargılanmasının ve mahkûmiyetinin Sözleşme'nin 6, 7, 8 ve 11. maddelerinin ihlali anlamına geldiğinden bahisle 17 Mart 2020 tarihinde AİHM’e başvurmuştur (prg 1, 2).</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Başvuru, Mahkeme'nin İkinci Bölümü'ne havale edilmiş ve Bölüm, başvuruyu benzer vakalar açısından “leading case” (önde gelen ve diğerlerine örnek olacak) olarak (02/03/2021) seçmiştir. 3 Mayıs 2022 tarihinde İkinci Bölüm, Büyük Daire lehine yargı yetkisinden feragat etmeye karar vermiştir (prg 6).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Büyük Daire</w:t>
      </w:r>
      <w:r>
        <w:rPr>
          <w:rFonts w:ascii="Times New Roman" w:hAnsi="Times New Roman" w:cs="Times New Roman"/>
          <w:iCs/>
          <w:sz w:val="24"/>
          <w:szCs w:val="24"/>
          <w:lang w:val="tr"/>
        </w:rPr>
        <w:t>, başvuru ile ilgili duruşmayı, 18 Ocak 2023 tarihinde kamuya açık olarak gerçekleştirmiştir (prg 9).</w:t>
      </w:r>
      <w:r>
        <w:rPr>
          <w:rFonts w:ascii="Times New Roman" w:hAnsi="Times New Roman" w:eastAsia="Times New Roman" w:cs="Times New Roman"/>
          <w:sz w:val="24"/>
          <w:szCs w:val="24"/>
          <w:lang w:val="tr" w:eastAsia="fr-CH"/>
        </w:rPr>
        <w:t xml:space="preserve"> </w:t>
      </w:r>
      <w:r>
        <w:rPr>
          <w:rFonts w:ascii="Times New Roman" w:hAnsi="Times New Roman" w:cs="Times New Roman"/>
          <w:iCs/>
          <w:sz w:val="24"/>
          <w:szCs w:val="24"/>
          <w:lang w:val="tr"/>
        </w:rPr>
        <w:t xml:space="preserve">Büyük Daire halinde toplanan AİHM, 18 Ocak ve 28 Haziran 2023 tarihlerinde gerçekleştirilen kapalı müzakerelerin ardından kabul edilen kararını 26 Eylül 2023 tarihinde aleni duruşmada açıklamıştır. </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AİHM</w:t>
      </w:r>
      <w:r>
        <w:rPr>
          <w:rFonts w:ascii="Times New Roman" w:hAnsi="Times New Roman" w:cs="Times New Roman"/>
          <w:iCs/>
          <w:sz w:val="24"/>
          <w:szCs w:val="24"/>
          <w:lang w:val="tr"/>
        </w:rPr>
        <w:t xml:space="preserve">, AİHS’nin 7/1. Maddesinin </w:t>
      </w:r>
      <w:r>
        <w:rPr>
          <w:rFonts w:ascii="Times New Roman" w:hAnsi="Times New Roman" w:cs="Times New Roman"/>
          <w:i/>
          <w:iCs/>
          <w:sz w:val="24"/>
          <w:szCs w:val="24"/>
          <w:lang w:val="tr"/>
        </w:rPr>
        <w:t>“Hiç kimse, işlendiği zaman ulusal veya uluslararası hukuka göre suç oluşturmayan bir eylem veya ihmalden dolayı suçlu bulunamaz. Aynı biçimde, suçun işlendiği sırada uygulanabilir olan cezadan daha ağır bir ceza verilemez.”</w:t>
      </w:r>
      <w:r>
        <w:rPr>
          <w:rFonts w:ascii="Times New Roman" w:hAnsi="Times New Roman" w:cs="Times New Roman"/>
          <w:sz w:val="24"/>
          <w:szCs w:val="24"/>
          <w:lang w:val="tr"/>
        </w:rPr>
        <w:t xml:space="preserve"> hükmünü; 6/1. maddesinin </w:t>
      </w:r>
      <w:r>
        <w:rPr>
          <w:rFonts w:ascii="Times New Roman" w:hAnsi="Times New Roman" w:cs="Times New Roman"/>
          <w:i/>
          <w:sz w:val="24"/>
          <w:szCs w:val="24"/>
          <w:lang w:val="tr"/>
        </w:rPr>
        <w:t xml:space="preserve">"Herkes, kendisine yöneltilen herhangi bir suç isnadının ... karara bağlanmasında, ... yasayla kurulmuş bir mahkeme tarafından ... adil bir ... duruşma yapılmasını isteme hakkına sahiptir. ..." </w:t>
      </w:r>
      <w:r>
        <w:rPr>
          <w:rFonts w:ascii="Times New Roman" w:hAnsi="Times New Roman" w:cs="Times New Roman"/>
          <w:iCs/>
          <w:sz w:val="24"/>
          <w:szCs w:val="24"/>
          <w:lang w:val="tr"/>
        </w:rPr>
        <w:t>hükmünü</w:t>
      </w:r>
      <w:r>
        <w:rPr>
          <w:rFonts w:ascii="Times New Roman" w:hAnsi="Times New Roman" w:cs="Times New Roman"/>
          <w:sz w:val="24"/>
          <w:szCs w:val="24"/>
          <w:lang w:val="tr"/>
        </w:rPr>
        <w:t xml:space="preserve">; 11. Maddesinin </w:t>
      </w:r>
      <w:r>
        <w:rPr>
          <w:rFonts w:ascii="Times New Roman" w:hAnsi="Times New Roman" w:cs="Times New Roman"/>
          <w:i/>
          <w:sz w:val="24"/>
          <w:szCs w:val="24"/>
          <w:lang w:val="tr"/>
        </w:rPr>
        <w:t>"Herkes, çıkarlarını korumak için sendika kurma ve sendikalara üye olma hakkı da dahil olmak üzere, barışçıl olarak toplanma ve başkalarıyla birlikte örgütlenme özgürlüğü hakkına sahiptir.”</w:t>
      </w:r>
      <w:r>
        <w:rPr>
          <w:rFonts w:ascii="Times New Roman" w:hAnsi="Times New Roman" w:cs="Times New Roman"/>
          <w:iCs/>
          <w:sz w:val="24"/>
          <w:szCs w:val="24"/>
          <w:lang w:val="tr"/>
        </w:rPr>
        <w:t xml:space="preserve"> hükmünü dikkate alarak; </w:t>
      </w:r>
      <w:r>
        <w:rPr>
          <w:rFonts w:ascii="Times New Roman" w:hAnsi="Times New Roman" w:cs="Times New Roman"/>
          <w:sz w:val="24"/>
          <w:szCs w:val="24"/>
          <w:lang w:val="tr"/>
        </w:rPr>
        <w:t xml:space="preserve">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örgüt üyeliği ile ilgili 314/2. Maddesinin bir unsuru gibi değerlendirilen ByLock uygulamasını kullanmanın,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Faaliyet icra ettikleri dönemde yasal olan Bank Asya’da hesap sahibi olunmasının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Yasal bir dernek ve sendikada üye olunması hususlarının terör örgütü üyeliği suç unsuru haline getirilmesi,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Bylock verilerinin başvuran ile paylaşılmaması,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Verilerin güvenilirliğine ilişkin şüphelerin giderilmesi noktasında açıklama yapılmaması,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Silahların eşitliği ve çelişmeli yargılama hakkının sağlanmaması,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Dernek ve sendika üyeliklerin sözleşmede korunan temel hak ve yasal olması,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Tüm bu haklar kullanılırken hukuk ve yasaya güvenilmesi ve gelecekte bunlardan dolayı suçlanılacağının öngörülmemesi, </w:t>
      </w:r>
    </w:p>
    <w:p>
      <w:pPr>
        <w:pStyle w:val="7"/>
        <w:numPr>
          <w:ilvl w:val="0"/>
          <w:numId w:val="3"/>
        </w:numPr>
        <w:tabs>
          <w:tab w:val="left" w:pos="3870"/>
        </w:tabs>
        <w:spacing w:line="276" w:lineRule="auto"/>
        <w:ind w:right="-378"/>
        <w:jc w:val="both"/>
        <w:rPr>
          <w:rFonts w:ascii="Times New Roman" w:hAnsi="Times New Roman" w:cs="Times New Roman"/>
          <w:iCs/>
          <w:sz w:val="24"/>
          <w:szCs w:val="24"/>
          <w:lang w:val="tr"/>
        </w:rPr>
      </w:pPr>
      <w:r>
        <w:rPr>
          <w:rFonts w:ascii="Times New Roman" w:hAnsi="Times New Roman" w:cs="Times New Roman"/>
          <w:sz w:val="24"/>
          <w:szCs w:val="24"/>
          <w:lang w:val="tr"/>
        </w:rPr>
        <w:t xml:space="preserve">TCK’nın 314/2. maddesinin </w:t>
      </w:r>
      <w:r>
        <w:rPr>
          <w:rFonts w:ascii="Times New Roman" w:hAnsi="Times New Roman" w:cs="Times New Roman"/>
          <w:iCs/>
          <w:sz w:val="24"/>
          <w:szCs w:val="24"/>
          <w:lang w:val="tr"/>
        </w:rPr>
        <w:t xml:space="preserve">yorumlanma şeklinin, bu hükmün kapsamını öngörülemeyen bir şekilde genişletmesi, keyfi müdahalelere karşı gerekli asgari korumayı sağlamaması </w:t>
      </w:r>
      <w:r>
        <w:rPr>
          <w:rFonts w:ascii="Times New Roman" w:hAnsi="Times New Roman" w:cs="Times New Roman"/>
          <w:sz w:val="24"/>
          <w:szCs w:val="24"/>
          <w:lang w:val="tr"/>
        </w:rPr>
        <w:t>gibi nedenlerle anılan Sözleşme hükümlerinin ihlal edildiğine karar vermiştir.</w:t>
      </w:r>
    </w:p>
    <w:p>
      <w:pPr>
        <w:pStyle w:val="7"/>
        <w:tabs>
          <w:tab w:val="left" w:pos="3870"/>
        </w:tabs>
        <w:spacing w:line="276" w:lineRule="auto"/>
        <w:ind w:left="630" w:right="-378"/>
        <w:jc w:val="both"/>
        <w:rPr>
          <w:rFonts w:ascii="Times New Roman" w:hAnsi="Times New Roman" w:cs="Times New Roman"/>
          <w:iCs/>
          <w:sz w:val="24"/>
          <w:szCs w:val="24"/>
          <w:lang w:val="tr"/>
        </w:rPr>
      </w:pPr>
    </w:p>
    <w:p>
      <w:pPr>
        <w:pStyle w:val="7"/>
        <w:numPr>
          <w:ilvl w:val="0"/>
          <w:numId w:val="1"/>
        </w:numPr>
        <w:tabs>
          <w:tab w:val="left" w:pos="3870"/>
        </w:tabs>
        <w:spacing w:line="276" w:lineRule="auto"/>
        <w:ind w:right="-378"/>
        <w:jc w:val="both"/>
        <w:rPr>
          <w:rFonts w:ascii="Times New Roman" w:hAnsi="Times New Roman" w:cs="Times New Roman"/>
          <w:b/>
          <w:bCs/>
          <w:iCs/>
          <w:sz w:val="24"/>
          <w:szCs w:val="24"/>
          <w:lang w:val="tr"/>
        </w:rPr>
      </w:pPr>
      <w:r>
        <w:rPr>
          <w:rFonts w:ascii="Times New Roman" w:hAnsi="Times New Roman" w:cs="Times New Roman"/>
          <w:b/>
          <w:bCs/>
          <w:iCs/>
          <w:sz w:val="24"/>
          <w:szCs w:val="24"/>
          <w:lang w:val="tr"/>
        </w:rPr>
        <w:t>Tahliye Kararına Dayanak Olacak Yeni Delil;</w:t>
      </w:r>
    </w:p>
    <w:p>
      <w:pPr>
        <w:pStyle w:val="7"/>
        <w:tabs>
          <w:tab w:val="left" w:pos="3870"/>
        </w:tabs>
        <w:spacing w:line="276" w:lineRule="auto"/>
        <w:ind w:left="630" w:right="-378"/>
        <w:jc w:val="both"/>
        <w:rPr>
          <w:rFonts w:ascii="Times New Roman" w:hAnsi="Times New Roman" w:cs="Times New Roman"/>
          <w:b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Avrupa İnsan Hakları Mahkemesi 26 Eylül 2023 tarihinde tutuklama kararımda yer alan aynı suçlamaya maruz kalmış, aynı deliller ile mahkum olmuş ve hakkındaki karar kesinleşmiş olan Yüksel Yalçınkaya başvurusunda temel hakların ihlal edildiğine karar vermiştir. Bu karar gereğince Yalçınkaya ile ilgili olarak yeniden yargılama süreci başlatılıp beraat kararı verilecektir.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AİHM kararına göre terör örgütü üyeliği suçlamasına delil olarak gösterilen fiiller gerekçe gösterilerek terör örgütü üyeliği suçlamasında bulunulması, tutuklanması ve mahkumiyet kararı verilmesi kanunsuz ve keyfidir. Bu nedenle de ortada davanın esasına etkileyecek ve suçlamaları boşa düşürecek derecede önemli ve tartışmasız yeni bir delil ortaya çıkmıştır.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Davayı Büyük Daire incelemiş ve kesin karar vermiştir. Bu dava diğer benzer davalara örnek teşkil etmesi amacıyla “Leading Case” (Öncü Dava) olarak seçilmiştir. AİHM, bu dava özelinden önlerinde derdest benzer 8000’den fazla başvurunun ve Türkiye’de benzer 100.000’in üzerinde davanın bulunduğunu, dolayısıyla ortada sistemik bir sorun olduğunu tespit etmiştir.</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AİHM, benzer davalarda da var olan bu sorunun yargılamanın yenilenmesi dahil genel alınacak bir tedbirle çözülebileceğini, aksi halde gelecek her bir benzer başvuruyu bu davada aldığı ilkeler uyarınca sonuçlandıracağını ihtar etmiştir. </w:t>
      </w:r>
    </w:p>
    <w:p>
      <w:pPr>
        <w:pStyle w:val="7"/>
        <w:numPr>
          <w:ilvl w:val="0"/>
          <w:numId w:val="2"/>
        </w:numPr>
        <w:tabs>
          <w:tab w:val="left" w:pos="3870"/>
        </w:tabs>
        <w:spacing w:line="276" w:lineRule="auto"/>
        <w:ind w:left="630" w:right="-378"/>
        <w:jc w:val="both"/>
        <w:rPr>
          <w:rFonts w:ascii="Times New Roman" w:hAnsi="Times New Roman" w:cs="Times New Roman"/>
          <w:bCs/>
          <w:sz w:val="24"/>
          <w:szCs w:val="24"/>
        </w:rPr>
      </w:pPr>
      <w:r>
        <w:rPr>
          <w:rFonts w:ascii="Times New Roman" w:hAnsi="Times New Roman" w:cs="Times New Roman"/>
          <w:bCs/>
          <w:sz w:val="24"/>
          <w:szCs w:val="24"/>
        </w:rPr>
        <w:t xml:space="preserve">Benim dosyamda yer alan isnat ve delillerle AİHM kararına konu olan suçlama yüzde yüz örtüşmektedir. AİHM’in kararında bahsedilen sistemik sorunun bir parçasıyım. AİHM, verdiği kararının benzer dosyalara, kesinleşen kararlara da uygulanmasını ve yargılamalarının yenilenmesi gerektiğini belirtmiştir. Bu nedenle tahliye kararı verilmesi Anayasanın ve Sözleşme hukukunun üstünlüğünün gereğidir. </w:t>
      </w:r>
    </w:p>
    <w:p>
      <w:pPr>
        <w:tabs>
          <w:tab w:val="left" w:pos="3870"/>
        </w:tabs>
        <w:spacing w:line="276" w:lineRule="auto"/>
        <w:ind w:right="-378"/>
        <w:jc w:val="both"/>
        <w:rPr>
          <w:rFonts w:ascii="Times New Roman" w:hAnsi="Times New Roman" w:cs="Times New Roman"/>
          <w:iCs/>
          <w:lang w:val="tr"/>
        </w:rPr>
      </w:pPr>
    </w:p>
    <w:p>
      <w:pPr>
        <w:pStyle w:val="7"/>
        <w:numPr>
          <w:ilvl w:val="0"/>
          <w:numId w:val="1"/>
        </w:numPr>
        <w:tabs>
          <w:tab w:val="left" w:pos="3870"/>
        </w:tabs>
        <w:spacing w:line="276" w:lineRule="auto"/>
        <w:ind w:right="-378"/>
        <w:jc w:val="both"/>
        <w:rPr>
          <w:rFonts w:ascii="Times New Roman" w:hAnsi="Times New Roman" w:cs="Times New Roman"/>
          <w:b/>
          <w:sz w:val="24"/>
          <w:szCs w:val="24"/>
          <w:u w:val="single"/>
        </w:rPr>
      </w:pPr>
      <w:r>
        <w:rPr>
          <w:rFonts w:ascii="Times New Roman" w:hAnsi="Times New Roman" w:cs="Times New Roman"/>
          <w:b/>
          <w:sz w:val="24"/>
          <w:szCs w:val="24"/>
          <w:u w:val="single"/>
        </w:rPr>
        <w:t>AİHM Kararının Bağlayıcı Olması;</w:t>
      </w:r>
    </w:p>
    <w:p>
      <w:pPr>
        <w:pStyle w:val="7"/>
        <w:tabs>
          <w:tab w:val="left" w:pos="3870"/>
        </w:tabs>
        <w:spacing w:line="276" w:lineRule="auto"/>
        <w:ind w:left="630" w:right="-378"/>
        <w:jc w:val="both"/>
        <w:rPr>
          <w:rFonts w:ascii="Times New Roman" w:hAnsi="Times New Roman" w:cs="Times New Roman"/>
          <w:iCs/>
          <w:sz w:val="24"/>
          <w:szCs w:val="24"/>
        </w:rPr>
      </w:pPr>
    </w:p>
    <w:p>
      <w:pPr>
        <w:pStyle w:val="7"/>
        <w:numPr>
          <w:ilvl w:val="0"/>
          <w:numId w:val="2"/>
        </w:numPr>
        <w:tabs>
          <w:tab w:val="left" w:pos="3870"/>
        </w:tabs>
        <w:spacing w:line="276" w:lineRule="auto"/>
        <w:ind w:left="630" w:right="-378"/>
        <w:jc w:val="both"/>
        <w:rPr>
          <w:rFonts w:ascii="Times New Roman" w:hAnsi="Times New Roman" w:cs="Times New Roman"/>
          <w:i/>
          <w:sz w:val="24"/>
          <w:szCs w:val="24"/>
          <w:lang w:val="tr"/>
        </w:rPr>
      </w:pPr>
      <w:r>
        <w:rPr>
          <w:rFonts w:ascii="Times New Roman" w:hAnsi="Times New Roman" w:cs="Times New Roman"/>
          <w:iCs/>
          <w:sz w:val="24"/>
          <w:szCs w:val="24"/>
          <w:lang w:val="tr"/>
        </w:rPr>
        <w:t xml:space="preserve">AİHM, Sözleşme'nin 46. Maddesinde yer alan </w:t>
      </w:r>
      <w:r>
        <w:rPr>
          <w:rFonts w:ascii="Times New Roman" w:hAnsi="Times New Roman" w:cs="Times New Roman"/>
          <w:i/>
          <w:sz w:val="24"/>
          <w:szCs w:val="24"/>
          <w:lang w:val="tr"/>
        </w:rPr>
        <w:t>"1. Yüksek Sözleşmeci Taraflar, taraf oldukları her davada Mahkeme'nin nihai kararına uymayı taahhüt ederler."</w:t>
      </w:r>
      <w:r>
        <w:rPr>
          <w:rFonts w:ascii="Times New Roman" w:hAnsi="Times New Roman" w:cs="Times New Roman"/>
          <w:iCs/>
          <w:sz w:val="24"/>
          <w:szCs w:val="24"/>
          <w:lang w:val="tr"/>
        </w:rPr>
        <w:t xml:space="preserve"> kural gereği, davalı Devlet'e, tespit edilen ihlale son vermesi ve ihlalden önceki durumu mümkün olduğunca eski haline getirecek şekilde sonuçlarını telafi etmesi, yargılamanın yenilenmesi, “benzer vakalara ilişkin” olarak da aynı tedbirlerin alınması (prg 413-418), sistematik olan bu sorunun yüz binden fazla dosyayı etkilediği ve etkilemeye devam etmesi nedeniyle bu sorunun ihlal gerekçeleri bağlamında çözülmesi yükümlülüğünü getirmiştir.</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 xml:space="preserve">Mahkeme'nin içtihadına göre, bir ihlalin çok sayıda insanı etkileyen sistemik bir sorundan </w:t>
      </w:r>
      <w:r>
        <w:rPr>
          <w:rFonts w:ascii="Times New Roman" w:hAnsi="Times New Roman" w:cs="Times New Roman"/>
          <w:bCs/>
          <w:sz w:val="24"/>
          <w:szCs w:val="24"/>
        </w:rPr>
        <w:t>kaynaklandığı</w:t>
      </w:r>
      <w:r>
        <w:rPr>
          <w:rFonts w:ascii="Times New Roman" w:hAnsi="Times New Roman" w:cs="Times New Roman"/>
          <w:iCs/>
          <w:sz w:val="24"/>
          <w:szCs w:val="24"/>
          <w:lang w:val="tr"/>
        </w:rPr>
        <w:t xml:space="preserve"> durumlarda, böyle bir kararın icrası için ulusal düzeyde genel tedbirler alınması gerekecektir. Mahkeme İçtüzüğünün 61. maddesi uyarınca pilot karar usulüne sıklıkla başvurmasına rağmen, Mahkeme bu usulün uygulanmadığı davalarda da genel tedbirlere işaret etmiştir. İster bir pilot karar çerçevesinde ister başka bir şekilde yapılmış olsun, bu tür göstergelerle amaçlanan, ulusal düzeydeki sistemik sorunları çözerek Sözleşmeci Devletlerin Sözleşme sistemindeki rollerini yerine getirmelerine yardımcı olmaktır (prg 416).</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iCs/>
          <w:sz w:val="24"/>
          <w:szCs w:val="24"/>
          <w:lang w:val="tr"/>
        </w:rPr>
        <w:t>Mahkeme bu bağlamda, Bakanlar Komitesi'nin Rec(2004)6 sayılı Tavsiye Kararında belirtildiği üzere, Devletlerin Sözleşme ihlallerinin altında yatan sorunları çözme konusundaki genel yükümlülüğüne işaret etmektedir. Bir kusur tespit edildiğinde, ulusal makamlar, Bakanlar Komitesi'nin denetimine tabi olarak, Sözleşme sisteminin temelini oluşturan ikincillik ilkesine uygun olarak - gerekirse geriye dönük olarak - gerekli telafi tedbirlerini almakla görevlidir; böylece Mahkeme, bir dizi benzer davadaki ihlal bulgusunu tekrarlamak zorunda kalmaz (prg 417).</w:t>
      </w:r>
    </w:p>
    <w:p>
      <w:pPr>
        <w:pStyle w:val="7"/>
        <w:numPr>
          <w:ilvl w:val="0"/>
          <w:numId w:val="2"/>
        </w:numPr>
        <w:tabs>
          <w:tab w:val="left" w:pos="3870"/>
        </w:tabs>
        <w:spacing w:line="276" w:lineRule="auto"/>
        <w:ind w:left="630" w:right="-378"/>
        <w:jc w:val="both"/>
        <w:rPr>
          <w:rFonts w:ascii="Times New Roman" w:hAnsi="Times New Roman" w:cs="Times New Roman"/>
          <w:iCs/>
          <w:sz w:val="24"/>
          <w:szCs w:val="24"/>
          <w:lang w:val="tr"/>
        </w:rPr>
      </w:pPr>
      <w:r>
        <w:rPr>
          <w:rFonts w:ascii="Times New Roman" w:hAnsi="Times New Roman" w:cs="Times New Roman"/>
          <w:bCs/>
          <w:sz w:val="24"/>
          <w:szCs w:val="24"/>
        </w:rPr>
        <w:t>Mahkeme</w:t>
      </w:r>
      <w:r>
        <w:rPr>
          <w:rFonts w:ascii="Times New Roman" w:hAnsi="Times New Roman" w:cs="Times New Roman"/>
          <w:iCs/>
          <w:sz w:val="24"/>
          <w:szCs w:val="24"/>
          <w:lang w:val="tr"/>
        </w:rPr>
        <w:t xml:space="preserve"> önceki kararlarındaki şu paragrafa atfını yenilemiştir: </w:t>
      </w:r>
      <w:r>
        <w:rPr>
          <w:rFonts w:ascii="Times New Roman" w:hAnsi="Times New Roman" w:cs="Times New Roman"/>
          <w:i/>
          <w:sz w:val="24"/>
          <w:szCs w:val="24"/>
          <w:lang w:val="tr"/>
        </w:rPr>
        <w:t>"Ayrıca, Mahkeme'nin Sözleşme kapsamındaki temel görevinin, Sözleşme'nin 19. maddesinde tanımlandığı üzere, 'Yüksek Sözleşmeci Tarafların Sözleşme ve Protokollerinde üstlendikleri taahhütlere uyulmasını sağlamak' olduğu da hatırlanmalıdır. Sözleşme'ye ilişkin herhangi bir sorunun kalmadığı davalarda sürekli olarak bireysel kararlar verilmesi gerekliliğinin bu görevle uyumlu olduğu söylenemez. Bu yargısal uygulama, Sözleşme kapsamındaki insan hakları korumasının güçlendirilmesine yararlı veya anlamlı bir şekilde katkıda bulunmaz; ..."</w:t>
      </w:r>
      <w:r>
        <w:rPr>
          <w:rFonts w:ascii="Times New Roman" w:hAnsi="Times New Roman" w:cs="Times New Roman"/>
          <w:iCs/>
          <w:sz w:val="24"/>
          <w:szCs w:val="24"/>
          <w:lang w:val="tr"/>
        </w:rPr>
        <w:t xml:space="preserve"> (prg 417).</w:t>
      </w:r>
    </w:p>
    <w:p>
      <w:pPr>
        <w:pStyle w:val="7"/>
        <w:numPr>
          <w:ilvl w:val="0"/>
          <w:numId w:val="2"/>
        </w:numPr>
        <w:tabs>
          <w:tab w:val="left" w:pos="3870"/>
        </w:tabs>
        <w:spacing w:line="276" w:lineRule="auto"/>
        <w:ind w:left="630" w:right="-378"/>
        <w:jc w:val="both"/>
        <w:rPr>
          <w:rFonts w:ascii="Times New Roman" w:hAnsi="Times New Roman" w:cs="Times New Roman"/>
          <w:b/>
          <w:bCs/>
          <w:iCs/>
          <w:sz w:val="24"/>
          <w:szCs w:val="24"/>
          <w:lang w:val="tr"/>
        </w:rPr>
      </w:pPr>
      <w:r>
        <w:rPr>
          <w:rFonts w:ascii="Times New Roman" w:hAnsi="Times New Roman" w:cs="Times New Roman"/>
          <w:iCs/>
          <w:sz w:val="24"/>
          <w:szCs w:val="24"/>
          <w:lang w:val="tr"/>
        </w:rPr>
        <w:t xml:space="preserve">Bu </w:t>
      </w:r>
      <w:r>
        <w:rPr>
          <w:rFonts w:ascii="Times New Roman" w:hAnsi="Times New Roman" w:cs="Times New Roman"/>
          <w:bCs/>
          <w:sz w:val="24"/>
          <w:szCs w:val="24"/>
        </w:rPr>
        <w:t>nedenle</w:t>
      </w:r>
      <w:r>
        <w:rPr>
          <w:rFonts w:ascii="Times New Roman" w:hAnsi="Times New Roman" w:cs="Times New Roman"/>
          <w:iCs/>
          <w:sz w:val="24"/>
          <w:szCs w:val="24"/>
          <w:lang w:val="tr"/>
        </w:rPr>
        <w:t xml:space="preserve"> Mahkeme, mevcut kararda tespit edilen kusurların, ilgili ve mümkün olduğu ölçüde, Türk makamları tarafından daha geniş bir ölçekte- yani mevcut başvuranın özel davasının ötesinde- ele alınması gerektiği görüşündedir. Dolayısıyla, davalı Devlet'in Sözleşme'nin 46. maddesi kapsamındaki yükümlülüklerine uygun olarak, mevcut karardan, </w:t>
      </w:r>
      <w:r>
        <w:rPr>
          <w:rFonts w:ascii="Times New Roman" w:hAnsi="Times New Roman" w:cs="Times New Roman"/>
          <w:b/>
          <w:bCs/>
          <w:iCs/>
          <w:sz w:val="24"/>
          <w:szCs w:val="24"/>
          <w:lang w:val="tr"/>
        </w:rPr>
        <w:t>özellikle ulusal mahkemeler önünde görülmekte olan davalarla sınırlı olmamak üzere</w:t>
      </w:r>
      <w:r>
        <w:rPr>
          <w:rFonts w:ascii="Times New Roman" w:hAnsi="Times New Roman" w:cs="Times New Roman"/>
          <w:iCs/>
          <w:sz w:val="24"/>
          <w:szCs w:val="24"/>
          <w:lang w:val="tr"/>
        </w:rPr>
        <w:t xml:space="preserve">, </w:t>
      </w:r>
      <w:r>
        <w:rPr>
          <w:rFonts w:ascii="Times New Roman" w:hAnsi="Times New Roman" w:cs="Times New Roman"/>
          <w:i/>
          <w:sz w:val="24"/>
          <w:szCs w:val="24"/>
          <w:lang w:val="tr"/>
        </w:rPr>
        <w:t>(yani kesinleşen dosyalar da dahil)</w:t>
      </w:r>
      <w:r>
        <w:rPr>
          <w:rFonts w:ascii="Times New Roman" w:hAnsi="Times New Roman" w:cs="Times New Roman"/>
          <w:b/>
          <w:bCs/>
          <w:i/>
          <w:sz w:val="24"/>
          <w:szCs w:val="24"/>
          <w:lang w:val="tr"/>
        </w:rPr>
        <w:t xml:space="preserve"> </w:t>
      </w:r>
      <w:r>
        <w:rPr>
          <w:rFonts w:ascii="Times New Roman" w:hAnsi="Times New Roman" w:cs="Times New Roman"/>
          <w:iCs/>
          <w:sz w:val="24"/>
          <w:szCs w:val="24"/>
          <w:lang w:val="tr"/>
        </w:rPr>
        <w:t>gerekli sonuçları çıkarmak ve burada ihlal bulgularına yol açan yukarıda tespit edilen sorunu çözmek için uygun olan diğer genel tedbirleri alması gerekmektedir. Daha spesifik olarak, ulusal mahkemelerin, mevcut kararda yorumlandığı ve uygulandığı şekliyle ilgili Sözleşme standartlarını gerekli şekilde dikkate almaları lazımdır. Mahkeme bu bağlamda, Sözleşme'nin 46. maddesinin, usulüne uygun olarak yürürlüğe konulmuş uluslararası anlaşmaların kanun hükmünde olduğu ve bunların anayasaya uygunluğuna itiraz etmek için Anayasa Mahkemesine başvurulamayacağı şeklindeki Türkiye Anayasası'nın 90 § 5 maddesi uyarınca Türkiye'de anayasal bir kural hükmünde olduğunun altını çizmiştir (prg 418).</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lang w:val="tr"/>
        </w:rPr>
        <w:t>H</w:t>
      </w:r>
      <w:r>
        <w:rPr>
          <w:rFonts w:ascii="Times New Roman" w:hAnsi="Times New Roman" w:cs="Times New Roman"/>
          <w:sz w:val="24"/>
          <w:szCs w:val="24"/>
        </w:rPr>
        <w:t xml:space="preserve">em AYM hem de AİHM </w:t>
      </w:r>
      <w:r>
        <w:rPr>
          <w:rFonts w:ascii="Times New Roman" w:hAnsi="Times New Roman" w:cs="Times New Roman"/>
          <w:b/>
          <w:bCs/>
          <w:sz w:val="24"/>
          <w:szCs w:val="24"/>
        </w:rPr>
        <w:t>mahkeme kararının objektif etkisinin</w:t>
      </w:r>
      <w:r>
        <w:rPr>
          <w:rFonts w:ascii="Times New Roman" w:hAnsi="Times New Roman" w:cs="Times New Roman"/>
          <w:sz w:val="24"/>
          <w:szCs w:val="24"/>
        </w:rPr>
        <w:t xml:space="preserve"> olduğunu, benzer davalara ve işlemlere uygulanması gerektiğini açıkça ortaya koymuşlardır. Mahkemenin objektif işlevi, Anayasa’nın ve Sözleşme’nin temel hak ve özgürlükleri düzenleyen hükümlerini yorumlamak ve bunların uygulanmasını gözetmektir. Dolayısıyla </w:t>
      </w:r>
      <w:r>
        <w:rPr>
          <w:rFonts w:ascii="Times New Roman" w:hAnsi="Times New Roman" w:cs="Times New Roman"/>
          <w:bCs/>
          <w:sz w:val="24"/>
          <w:szCs w:val="24"/>
        </w:rPr>
        <w:t>AYM/AİHM’in bireysel başvuruda verdiği ihlâl kararı benzer diğer olaylar açısından da bağlayıcıdır ve kamu otoriteleri ve mahkemelerce dikkate alınmalıdır. Bu nedenle bireysel başvurudan beklenen faydanın sağlanabilmesi için bireysel başvurunun objektif işlevi ön plana çıkarılmalı ve bireysel başvuru kararlarının genel (</w:t>
      </w:r>
      <w:r>
        <w:rPr>
          <w:rFonts w:ascii="Times New Roman" w:hAnsi="Times New Roman" w:cs="Times New Roman"/>
          <w:bCs/>
          <w:i/>
          <w:iCs/>
          <w:sz w:val="24"/>
          <w:szCs w:val="24"/>
        </w:rPr>
        <w:t>erga omnes</w:t>
      </w:r>
      <w:r>
        <w:rPr>
          <w:rFonts w:ascii="Times New Roman" w:hAnsi="Times New Roman" w:cs="Times New Roman"/>
          <w:bCs/>
          <w:sz w:val="24"/>
          <w:szCs w:val="24"/>
        </w:rPr>
        <w:t>) bağlayıcılığı hayata geçirilmelidir. Yani AYM/AİHM bir konuda ihlâl kararı verdikten sonra kamu idareleri uygulamalarını, diğer mahkemeler de kararlarını AYM/AİHM kararı ile uyumlu hale getirmelidir. Esasen bu, AİHM/AYM’nin de belirttiği gibi, bireysel başvuru yolunun ve AYM/AİHM’in yetkisinin “ikincilliği” ilkesinin de gereğidir. Bu nedenle zaten Anayasa Mahkemesine ve dolayısıyla AİHM’e başvurmadan önce diğer hukuk yollarının tüketilmesi koşulu getirilmiştir. Temel hak ve özgürlüklerin öncelikle kamu makamları ve derece mahkemeleri tarafından korunması gerekir.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Anayasa’nın 138. maddesi genel olarak yargı kararlarının, 153. maddesi ise özel olarak Anayasa Mahkemesi kararlarının bağlayıcılığını açık ve kesin bir dille düzenlemektedir. Buna göre, “</w:t>
      </w:r>
      <w:r>
        <w:rPr>
          <w:rFonts w:ascii="Times New Roman" w:hAnsi="Times New Roman" w:cs="Times New Roman"/>
          <w:i/>
          <w:iCs/>
          <w:sz w:val="24"/>
          <w:szCs w:val="24"/>
        </w:rPr>
        <w:t>yasama ve yürütme organları ile idare, mahkeme kararlarına uymak zorundadır</w:t>
      </w:r>
      <w:r>
        <w:rPr>
          <w:rFonts w:ascii="Times New Roman" w:hAnsi="Times New Roman" w:cs="Times New Roman"/>
          <w:sz w:val="24"/>
          <w:szCs w:val="24"/>
        </w:rPr>
        <w:t>” (m. 138) ve Anayasa Mahkemesinin kararları “</w:t>
      </w:r>
      <w:r>
        <w:rPr>
          <w:rFonts w:ascii="Times New Roman" w:hAnsi="Times New Roman" w:cs="Times New Roman"/>
          <w:i/>
          <w:iCs/>
          <w:sz w:val="24"/>
          <w:szCs w:val="24"/>
        </w:rPr>
        <w:t>yasama, yürütme ve yargı organlarını, idare makamlarını, gerçek ve tüzelkişileri bağlar</w:t>
      </w:r>
      <w:r>
        <w:rPr>
          <w:rFonts w:ascii="Times New Roman" w:hAnsi="Times New Roman" w:cs="Times New Roman"/>
          <w:sz w:val="24"/>
          <w:szCs w:val="24"/>
        </w:rPr>
        <w:t>” (m.153).</w:t>
      </w:r>
      <w:r>
        <w:rPr>
          <w:rFonts w:ascii="Times New Roman" w:hAnsi="Times New Roman" w:cs="Times New Roman"/>
          <w:color w:val="323232"/>
          <w:sz w:val="24"/>
          <w:szCs w:val="24"/>
          <w:shd w:val="clear" w:color="auto" w:fill="FFFFFF"/>
        </w:rPr>
        <w:t xml:space="preserve"> </w:t>
      </w:r>
      <w:r>
        <w:rPr>
          <w:rFonts w:ascii="Times New Roman" w:hAnsi="Times New Roman" w:cs="Times New Roman"/>
          <w:sz w:val="24"/>
          <w:szCs w:val="24"/>
        </w:rPr>
        <w:t>Anayasa Mahkemesi kararlarında vurgulandığı üzere, Anayasa'nın 153. maddesinin son fıkrasında Anayasa Mahkemesi kararlarına uyma ve bu kararları değiştirmeksizin yerine getirme hususunda yargı dâhil hiçbir kuruma herhangi bir takdir yetkisi tanınmamış veya bu konuda bir istisnaya yer verilmemiştir (Aym:</w:t>
      </w:r>
      <w:r>
        <w:rPr>
          <w:rFonts w:ascii="Times New Roman" w:hAnsi="Times New Roman" w:cs="Times New Roman"/>
          <w:i/>
          <w:iCs/>
          <w:color w:val="323232"/>
          <w:sz w:val="24"/>
          <w:szCs w:val="24"/>
          <w:shd w:val="clear" w:color="auto" w:fill="FFFFFF"/>
        </w:rPr>
        <w:t xml:space="preserve"> </w:t>
      </w:r>
      <w:r>
        <w:rPr>
          <w:rFonts w:ascii="Times New Roman" w:hAnsi="Times New Roman" w:cs="Times New Roman"/>
          <w:i/>
          <w:iCs/>
          <w:sz w:val="24"/>
          <w:szCs w:val="24"/>
        </w:rPr>
        <w:t>Şahin Alpay (2)</w:t>
      </w:r>
      <w:r>
        <w:rPr>
          <w:rFonts w:ascii="Times New Roman" w:hAnsi="Times New Roman" w:cs="Times New Roman"/>
          <w:sz w:val="24"/>
          <w:szCs w:val="24"/>
        </w:rPr>
        <w:t> [GK], B. No: 2018/3007, 15/3/2018, § 63; </w:t>
      </w:r>
      <w:r>
        <w:rPr>
          <w:rFonts w:ascii="Times New Roman" w:hAnsi="Times New Roman" w:cs="Times New Roman"/>
          <w:i/>
          <w:iCs/>
          <w:sz w:val="24"/>
          <w:szCs w:val="24"/>
        </w:rPr>
        <w:t>Kadri Enis Berberoğlu (3)</w:t>
      </w:r>
      <w:r>
        <w:rPr>
          <w:rFonts w:ascii="Times New Roman" w:hAnsi="Times New Roman" w:cs="Times New Roman"/>
          <w:sz w:val="24"/>
          <w:szCs w:val="24"/>
        </w:rPr>
        <w:t>, § 102).</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Avrupa İnsan Hakları Mahkemesi kararları, Avrupa İnsan Hakları Sözleşmesi’ne taraf Devletler açısından bağlayıcıdır. Sözleşmesi’nin 46. Maddesinin 1. fıkrasına göre, Sözleşmeci Taraflar, taraf oldukları davalarda Mahkemenin kesinleşmiş kararlarına uymayı taahhüt ederler.</w:t>
      </w:r>
    </w:p>
    <w:p>
      <w:pPr>
        <w:pStyle w:val="7"/>
        <w:numPr>
          <w:ilvl w:val="0"/>
          <w:numId w:val="2"/>
        </w:numPr>
        <w:tabs>
          <w:tab w:val="left" w:pos="3870"/>
        </w:tabs>
        <w:spacing w:line="276" w:lineRule="auto"/>
        <w:ind w:left="630" w:right="-378"/>
        <w:jc w:val="both"/>
        <w:rPr>
          <w:rFonts w:ascii="Times New Roman" w:hAnsi="Times New Roman" w:cs="Times New Roman"/>
          <w:sz w:val="24"/>
          <w:szCs w:val="24"/>
        </w:rPr>
      </w:pPr>
      <w:r>
        <w:rPr>
          <w:rFonts w:ascii="Times New Roman" w:hAnsi="Times New Roman" w:cs="Times New Roman"/>
          <w:sz w:val="24"/>
          <w:szCs w:val="24"/>
        </w:rPr>
        <w:t>Türkiye’de de, Yasama, Yürütme ve Yargı Anayasanın 90. maddesi ve Sözleşme’nin 46. maddesi gereği tespit edilen ihlali gidermekle yükümlüdürler.</w:t>
      </w:r>
    </w:p>
    <w:p>
      <w:pPr>
        <w:pStyle w:val="7"/>
        <w:tabs>
          <w:tab w:val="left" w:pos="3870"/>
        </w:tabs>
        <w:spacing w:line="276" w:lineRule="auto"/>
        <w:ind w:left="630" w:right="-378"/>
        <w:jc w:val="both"/>
        <w:rPr>
          <w:rFonts w:ascii="Times New Roman" w:hAnsi="Times New Roman" w:cs="Times New Roman"/>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Hukuki Dayanaklar;</w:t>
      </w:r>
    </w:p>
    <w:p>
      <w:pPr>
        <w:pStyle w:val="7"/>
        <w:tabs>
          <w:tab w:val="left" w:pos="3870"/>
        </w:tabs>
        <w:spacing w:line="276" w:lineRule="auto"/>
        <w:ind w:left="1080" w:right="-378"/>
        <w:jc w:val="both"/>
        <w:rPr>
          <w:rFonts w:ascii="Times New Roman" w:hAnsi="Times New Roman" w:cs="Times New Roman"/>
          <w:b/>
          <w:bCs/>
          <w:sz w:val="24"/>
          <w:szCs w:val="24"/>
        </w:rPr>
      </w:pPr>
      <w:r>
        <w:rPr>
          <w:rFonts w:ascii="Times New Roman" w:hAnsi="Times New Roman" w:cs="Times New Roman"/>
          <w:bCs/>
          <w:sz w:val="24"/>
          <w:szCs w:val="24"/>
        </w:rPr>
        <w:t>AY’nın 90. Maddesi; AİHS’nin 6, 7, 11, 46. maddeleri; 6216 sayılı Kanunun 50. Maddesi, CMK.100,104 ve devamı maddeleri vs tüm hukuki delail.</w:t>
      </w:r>
      <w:r>
        <w:rPr>
          <w:rFonts w:ascii="Times New Roman" w:hAnsi="Times New Roman" w:cs="Times New Roman"/>
          <w:b/>
          <w:bCs/>
          <w:sz w:val="24"/>
          <w:szCs w:val="24"/>
        </w:rPr>
        <w:t xml:space="preserve"> </w:t>
      </w:r>
    </w:p>
    <w:p>
      <w:pPr>
        <w:pStyle w:val="7"/>
        <w:tabs>
          <w:tab w:val="left" w:pos="3870"/>
        </w:tabs>
        <w:spacing w:line="276" w:lineRule="auto"/>
        <w:ind w:left="1080" w:right="-378"/>
        <w:jc w:val="both"/>
        <w:rPr>
          <w:rFonts w:ascii="Times New Roman" w:hAnsi="Times New Roman" w:cs="Times New Roman"/>
          <w:b/>
          <w:bCs/>
          <w:sz w:val="24"/>
          <w:szCs w:val="24"/>
        </w:rPr>
      </w:pPr>
    </w:p>
    <w:p>
      <w:pPr>
        <w:pStyle w:val="7"/>
        <w:numPr>
          <w:ilvl w:val="0"/>
          <w:numId w:val="1"/>
        </w:numPr>
        <w:tabs>
          <w:tab w:val="left" w:pos="3870"/>
        </w:tabs>
        <w:spacing w:line="276" w:lineRule="auto"/>
        <w:ind w:right="-378"/>
        <w:jc w:val="both"/>
        <w:rPr>
          <w:rFonts w:ascii="Times New Roman" w:hAnsi="Times New Roman" w:cs="Times New Roman"/>
          <w:b/>
          <w:bCs/>
          <w:sz w:val="24"/>
          <w:szCs w:val="24"/>
        </w:rPr>
      </w:pPr>
      <w:r>
        <w:rPr>
          <w:rFonts w:ascii="Times New Roman" w:hAnsi="Times New Roman" w:cs="Times New Roman"/>
          <w:b/>
          <w:bCs/>
          <w:sz w:val="24"/>
          <w:szCs w:val="24"/>
        </w:rPr>
        <w:t>Netice ve Talep;</w:t>
      </w:r>
    </w:p>
    <w:p>
      <w:pPr>
        <w:tabs>
          <w:tab w:val="left" w:pos="3870"/>
        </w:tabs>
        <w:spacing w:line="276" w:lineRule="auto"/>
        <w:ind w:left="360" w:right="-378"/>
        <w:jc w:val="both"/>
        <w:rPr>
          <w:rFonts w:ascii="Times New Roman" w:hAnsi="Times New Roman" w:cs="Times New Roman"/>
          <w:b/>
          <w:bCs/>
        </w:rPr>
      </w:pPr>
    </w:p>
    <w:p>
      <w:pPr>
        <w:tabs>
          <w:tab w:val="left" w:pos="3870"/>
        </w:tabs>
        <w:spacing w:line="276" w:lineRule="auto"/>
        <w:ind w:right="-378"/>
        <w:jc w:val="both"/>
        <w:rPr>
          <w:rFonts w:ascii="Times New Roman" w:hAnsi="Times New Roman" w:cs="Times New Roman"/>
          <w:color w:val="010000"/>
          <w:shd w:val="clear" w:color="auto" w:fill="FFFFFF"/>
          <w:lang w:val="tr-TR"/>
        </w:rPr>
      </w:pPr>
      <w:r>
        <w:rPr>
          <w:rFonts w:ascii="Times New Roman" w:hAnsi="Times New Roman" w:cs="Times New Roman"/>
          <w:color w:val="010000"/>
          <w:shd w:val="clear" w:color="auto" w:fill="FFFFFF"/>
        </w:rPr>
        <w:t>Yukarıda izah edilmeye çalışılan Yüksel Yalçınkaya AİHM kararı ve açıklamalar gereği</w:t>
      </w:r>
      <w:r>
        <w:rPr>
          <w:rFonts w:ascii="Times New Roman" w:hAnsi="Times New Roman" w:cs="Times New Roman"/>
          <w:color w:val="010000"/>
          <w:shd w:val="clear" w:color="auto" w:fill="FFFFFF"/>
          <w:lang w:val="tr-TR"/>
        </w:rPr>
        <w:t>;</w:t>
      </w:r>
    </w:p>
    <w:p>
      <w:pPr>
        <w:tabs>
          <w:tab w:val="left" w:pos="3870"/>
        </w:tabs>
        <w:spacing w:line="276" w:lineRule="auto"/>
        <w:ind w:right="-378"/>
        <w:jc w:val="both"/>
        <w:rPr>
          <w:rFonts w:ascii="Times New Roman" w:hAnsi="Times New Roman" w:cs="Times New Roman"/>
          <w:color w:val="010000"/>
          <w:shd w:val="clear" w:color="auto" w:fill="FFFFFF"/>
          <w:lang w:val="tr-TR"/>
        </w:rPr>
      </w:pPr>
    </w:p>
    <w:p>
      <w:pPr>
        <w:tabs>
          <w:tab w:val="left" w:pos="3870"/>
        </w:tabs>
        <w:spacing w:line="276" w:lineRule="auto"/>
        <w:ind w:right="-378"/>
        <w:jc w:val="both"/>
        <w:rPr>
          <w:rFonts w:ascii="Times New Roman" w:hAnsi="Times New Roman" w:cs="Times New Roman"/>
          <w:b/>
          <w:color w:val="010000"/>
          <w:u w:val="thick"/>
          <w:shd w:val="clear" w:color="auto" w:fill="FFFFFF"/>
        </w:rPr>
      </w:pPr>
      <w:r>
        <w:rPr>
          <w:rFonts w:ascii="Times New Roman" w:hAnsi="Times New Roman" w:cs="Times New Roman"/>
          <w:color w:val="010000"/>
          <w:shd w:val="clear" w:color="auto" w:fill="FFFFFF"/>
          <w:lang w:val="tr-TR"/>
        </w:rPr>
        <w:t>AİHM Büyük Daire kararında yer alan suçlamalarla</w:t>
      </w:r>
      <w:r>
        <w:rPr>
          <w:rFonts w:ascii="Times New Roman" w:hAnsi="Times New Roman" w:cs="Times New Roman"/>
          <w:color w:val="010000"/>
          <w:shd w:val="clear" w:color="auto" w:fill="FFFFFF"/>
        </w:rPr>
        <w:t xml:space="preserve"> aynı mahiyette</w:t>
      </w:r>
      <w:r>
        <w:rPr>
          <w:rFonts w:ascii="Times New Roman" w:hAnsi="Times New Roman" w:cs="Times New Roman"/>
          <w:color w:val="010000"/>
          <w:shd w:val="clear" w:color="auto" w:fill="FFFFFF"/>
          <w:lang w:val="tr-TR"/>
        </w:rPr>
        <w:t xml:space="preserve"> suçlamalardan dolayı hakkımda  tutuklama kararı verildiğinden</w:t>
      </w:r>
      <w:r>
        <w:rPr>
          <w:rFonts w:ascii="Times New Roman" w:hAnsi="Times New Roman" w:cs="Times New Roman"/>
          <w:color w:val="010000"/>
          <w:shd w:val="clear" w:color="auto" w:fill="FFFFFF"/>
        </w:rPr>
        <w:t xml:space="preserve"> AY 36, 90, 138, 153; AİHS 6, 7, 11, 46; 6216 sayılı Yasa 50 ve CMK 104. maddeleri uyarınca TAHLİYEME karar verilmesini,</w:t>
      </w: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p>
    <w:p>
      <w:pPr>
        <w:pStyle w:val="7"/>
        <w:tabs>
          <w:tab w:val="left" w:pos="3870"/>
        </w:tabs>
        <w:spacing w:line="276" w:lineRule="auto"/>
        <w:ind w:left="630" w:right="-378"/>
        <w:jc w:val="both"/>
        <w:rPr>
          <w:rFonts w:ascii="Times New Roman" w:hAnsi="Times New Roman" w:cs="Times New Roman"/>
          <w:color w:val="010000"/>
          <w:sz w:val="24"/>
          <w:szCs w:val="24"/>
          <w:shd w:val="clear" w:color="auto" w:fill="FFFFFF"/>
        </w:rPr>
      </w:pPr>
      <w:r>
        <w:rPr>
          <w:rFonts w:ascii="Times New Roman" w:hAnsi="Times New Roman" w:cs="Times New Roman"/>
          <w:color w:val="010000"/>
          <w:sz w:val="24"/>
          <w:szCs w:val="24"/>
          <w:shd w:val="clear" w:color="auto" w:fill="FFFFFF"/>
        </w:rPr>
        <w:t xml:space="preserve">Saygılarımla arz ve talep ederim.  </w:t>
      </w:r>
      <w:r>
        <w:rPr>
          <w:rFonts w:ascii="Times New Roman" w:hAnsi="Times New Roman" w:cs="Times New Roman"/>
          <w:color w:val="010000"/>
          <w:sz w:val="24"/>
          <w:szCs w:val="24"/>
          <w:highlight w:val="yellow"/>
          <w:shd w:val="clear" w:color="auto" w:fill="FFFFFF"/>
        </w:rPr>
        <w:t>…../…./2023</w:t>
      </w:r>
    </w:p>
    <w:p>
      <w:pPr>
        <w:tabs>
          <w:tab w:val="left" w:pos="3870"/>
        </w:tabs>
        <w:spacing w:line="276" w:lineRule="auto"/>
        <w:ind w:right="-378"/>
        <w:jc w:val="both"/>
        <w:rPr>
          <w:rFonts w:ascii="Times New Roman" w:hAnsi="Times New Roman" w:cs="Times New Roman"/>
          <w:iCs/>
          <w:lang w:val="tr-TR"/>
        </w:rPr>
      </w:pPr>
    </w:p>
    <w:p>
      <w:pPr>
        <w:tabs>
          <w:tab w:val="left" w:pos="3870"/>
        </w:tabs>
        <w:spacing w:line="276" w:lineRule="auto"/>
        <w:ind w:right="-378"/>
        <w:jc w:val="both"/>
        <w:rPr>
          <w:rFonts w:ascii="Times New Roman" w:hAnsi="Times New Roman" w:cs="Times New Roman"/>
          <w:iCs/>
          <w:lang w:val="tr-TR"/>
        </w:rPr>
      </w:pPr>
      <w:r>
        <w:rPr>
          <w:rFonts w:ascii="Times New Roman" w:hAnsi="Times New Roman" w:cs="Times New Roman"/>
          <w:iCs/>
          <w:lang w:val="tr-TR"/>
        </w:rPr>
        <w:t>Ek: 1- AİHM Yalçınkaya Kararı resmi tercümesi</w:t>
      </w:r>
    </w:p>
    <w:p>
      <w:pPr>
        <w:spacing w:line="276" w:lineRule="auto"/>
        <w:jc w:val="both"/>
        <w:rPr>
          <w:rFonts w:ascii="Times New Roman" w:hAnsi="Times New Roman" w:eastAsia="Times New Roman" w:cs="Times New Roman"/>
          <w:color w:val="262626"/>
          <w:kern w:val="0"/>
          <w:lang w:val="tr" w:eastAsia="en-GB"/>
          <w14:ligatures w14:val="none"/>
        </w:rPr>
      </w:pPr>
    </w:p>
    <w:p>
      <w:pPr>
        <w:spacing w:line="276" w:lineRule="auto"/>
        <w:jc w:val="both"/>
        <w:rPr>
          <w:rFonts w:ascii="Times New Roman" w:hAnsi="Times New Roman" w:eastAsia="Times New Roman" w:cs="Times New Roman"/>
          <w:color w:val="262626"/>
          <w:kern w:val="0"/>
          <w:lang w:val="tr-TR" w:eastAsia="en-GB"/>
          <w14:ligatures w14:val="none"/>
        </w:rPr>
      </w:pPr>
    </w:p>
    <w:p>
      <w:pPr>
        <w:spacing w:line="276" w:lineRule="auto"/>
        <w:ind w:left="5760"/>
        <w:rPr>
          <w:rFonts w:ascii="Times New Roman" w:hAnsi="Times New Roman" w:cs="Times New Roman"/>
          <w:b/>
          <w:bCs/>
          <w:highlight w:val="yellow"/>
          <w:lang w:val="tr-TR"/>
        </w:rPr>
      </w:pPr>
      <w:r>
        <w:rPr>
          <w:rFonts w:ascii="Times New Roman" w:hAnsi="Times New Roman" w:cs="Times New Roman"/>
          <w:b/>
          <w:bCs/>
          <w:highlight w:val="yellow"/>
          <w:lang w:val="tr-TR"/>
        </w:rPr>
        <w:t>AD SOYAD</w:t>
      </w: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highlight w:val="yellow"/>
          <w:lang w:val="tr-TR"/>
        </w:rPr>
      </w:pPr>
    </w:p>
    <w:p>
      <w:pPr>
        <w:spacing w:line="276" w:lineRule="auto"/>
        <w:ind w:left="5760"/>
        <w:rPr>
          <w:rFonts w:ascii="Times New Roman" w:hAnsi="Times New Roman" w:cs="Times New Roman"/>
          <w:b/>
          <w:bCs/>
          <w:lang w:val="tr-TR"/>
        </w:rPr>
      </w:pPr>
      <w:r>
        <w:rPr>
          <w:rFonts w:ascii="Times New Roman" w:hAnsi="Times New Roman" w:cs="Times New Roman"/>
          <w:b/>
          <w:bCs/>
          <w:highlight w:val="yellow"/>
          <w:lang w:val="tr-TR"/>
        </w:rPr>
        <w:t>İMZA</w:t>
      </w:r>
    </w:p>
    <w:sectPr>
      <w:footerReference r:id="rId3" w:type="default"/>
      <w:footerReference r:id="rId4" w:type="even"/>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87583104"/>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separate"/>
        </w:r>
        <w:r>
          <w:rPr>
            <w:rStyle w:val="6"/>
          </w:rPr>
          <w:t>1</w:t>
        </w:r>
        <w:r>
          <w:rPr>
            <w:rStyle w:val="6"/>
          </w:rPr>
          <w:fldChar w:fldCharType="end"/>
        </w:r>
      </w:p>
    </w:sdtContent>
  </w:sdt>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6"/>
      </w:rPr>
      <w:id w:val="565153555"/>
      <w:docPartObj>
        <w:docPartGallery w:val="AutoText"/>
      </w:docPartObj>
    </w:sdtPr>
    <w:sdtEndPr>
      <w:rPr>
        <w:rStyle w:val="6"/>
      </w:rPr>
    </w:sdtEndPr>
    <w:sdtContent>
      <w:p>
        <w:pPr>
          <w:pStyle w:val="4"/>
          <w:framePr w:wrap="auto" w:vAnchor="text" w:hAnchor="margin" w:xAlign="right" w:y="1"/>
          <w:rPr>
            <w:rStyle w:val="6"/>
          </w:rPr>
        </w:pPr>
        <w:r>
          <w:rPr>
            <w:rStyle w:val="6"/>
          </w:rPr>
          <w:fldChar w:fldCharType="begin"/>
        </w:r>
        <w:r>
          <w:rPr>
            <w:rStyle w:val="6"/>
          </w:rPr>
          <w:instrText xml:space="preserve"> PAGE </w:instrText>
        </w:r>
        <w:r>
          <w:rPr>
            <w:rStyle w:val="6"/>
          </w:rPr>
          <w:fldChar w:fldCharType="end"/>
        </w:r>
      </w:p>
    </w:sdtContent>
  </w:sdt>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9F1FFA"/>
    <w:multiLevelType w:val="multilevel"/>
    <w:tmpl w:val="1D9F1FFA"/>
    <w:lvl w:ilvl="0" w:tentative="0">
      <w:start w:val="1"/>
      <w:numFmt w:val="bullet"/>
      <w:lvlText w:val=""/>
      <w:lvlJc w:val="left"/>
      <w:pPr>
        <w:ind w:left="1350" w:hanging="360"/>
      </w:pPr>
      <w:rPr>
        <w:rFonts w:hint="default" w:ascii="Wingdings" w:hAnsi="Wingdings"/>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1">
    <w:nsid w:val="2AD73F58"/>
    <w:multiLevelType w:val="multilevel"/>
    <w:tmpl w:val="2AD73F58"/>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24D6782"/>
    <w:multiLevelType w:val="multilevel"/>
    <w:tmpl w:val="324D6782"/>
    <w:lvl w:ilvl="0" w:tentative="0">
      <w:start w:val="1"/>
      <w:numFmt w:val="decimal"/>
      <w:lvlText w:val="%1."/>
      <w:lvlJc w:val="left"/>
      <w:pPr>
        <w:ind w:left="1320" w:hanging="360"/>
      </w:pPr>
      <w:rPr>
        <w:b/>
        <w:bCs w:val="0"/>
        <w:i w:val="0"/>
        <w:iCs/>
      </w:rPr>
    </w:lvl>
    <w:lvl w:ilvl="1" w:tentative="0">
      <w:start w:val="1"/>
      <w:numFmt w:val="lowerLetter"/>
      <w:lvlText w:val="%2."/>
      <w:lvlJc w:val="left"/>
      <w:pPr>
        <w:ind w:left="2040" w:hanging="360"/>
      </w:pPr>
    </w:lvl>
    <w:lvl w:ilvl="2" w:tentative="0">
      <w:start w:val="1"/>
      <w:numFmt w:val="lowerRoman"/>
      <w:lvlText w:val="%3."/>
      <w:lvlJc w:val="right"/>
      <w:pPr>
        <w:ind w:left="2760" w:hanging="180"/>
      </w:pPr>
    </w:lvl>
    <w:lvl w:ilvl="3" w:tentative="0">
      <w:start w:val="1"/>
      <w:numFmt w:val="decimal"/>
      <w:lvlText w:val="%4."/>
      <w:lvlJc w:val="left"/>
      <w:pPr>
        <w:ind w:left="3480" w:hanging="360"/>
      </w:pPr>
    </w:lvl>
    <w:lvl w:ilvl="4" w:tentative="0">
      <w:start w:val="1"/>
      <w:numFmt w:val="lowerLetter"/>
      <w:lvlText w:val="%5."/>
      <w:lvlJc w:val="left"/>
      <w:pPr>
        <w:ind w:left="4200" w:hanging="360"/>
      </w:pPr>
    </w:lvl>
    <w:lvl w:ilvl="5" w:tentative="0">
      <w:start w:val="1"/>
      <w:numFmt w:val="lowerRoman"/>
      <w:lvlText w:val="%6."/>
      <w:lvlJc w:val="right"/>
      <w:pPr>
        <w:ind w:left="4920" w:hanging="180"/>
      </w:pPr>
    </w:lvl>
    <w:lvl w:ilvl="6" w:tentative="0">
      <w:start w:val="1"/>
      <w:numFmt w:val="decimal"/>
      <w:lvlText w:val="%7."/>
      <w:lvlJc w:val="left"/>
      <w:pPr>
        <w:ind w:left="5640" w:hanging="360"/>
      </w:pPr>
    </w:lvl>
    <w:lvl w:ilvl="7" w:tentative="0">
      <w:start w:val="1"/>
      <w:numFmt w:val="lowerLetter"/>
      <w:lvlText w:val="%8."/>
      <w:lvlJc w:val="left"/>
      <w:pPr>
        <w:ind w:left="6360" w:hanging="360"/>
      </w:pPr>
    </w:lvl>
    <w:lvl w:ilvl="8" w:tentative="0">
      <w:start w:val="1"/>
      <w:numFmt w:val="lowerRoman"/>
      <w:lvlText w:val="%9."/>
      <w:lvlJc w:val="right"/>
      <w:pPr>
        <w:ind w:left="70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93"/>
    <w:rsid w:val="00107095"/>
    <w:rsid w:val="00172969"/>
    <w:rsid w:val="001A1C60"/>
    <w:rsid w:val="001A74BC"/>
    <w:rsid w:val="00303CD0"/>
    <w:rsid w:val="00340593"/>
    <w:rsid w:val="0049565B"/>
    <w:rsid w:val="0051747B"/>
    <w:rsid w:val="00597C63"/>
    <w:rsid w:val="005A7513"/>
    <w:rsid w:val="006211D2"/>
    <w:rsid w:val="00714CF5"/>
    <w:rsid w:val="007C473F"/>
    <w:rsid w:val="00955FE4"/>
    <w:rsid w:val="00BA0CA2"/>
    <w:rsid w:val="00C26B20"/>
    <w:rsid w:val="00C9330F"/>
    <w:rsid w:val="00CA2726"/>
    <w:rsid w:val="00D76324"/>
    <w:rsid w:val="00E32B94"/>
    <w:rsid w:val="00EE06F7"/>
    <w:rsid w:val="00F562E9"/>
    <w:rsid w:val="DEE7CB4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p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page number"/>
    <w:basedOn w:val="2"/>
    <w:semiHidden/>
    <w:unhideWhenUsed/>
    <w:qFormat/>
    <w:uiPriority w:val="99"/>
  </w:style>
  <w:style w:type="paragraph" w:styleId="7">
    <w:name w:val="List Paragraph"/>
    <w:basedOn w:val="1"/>
    <w:qFormat/>
    <w:uiPriority w:val="34"/>
    <w:pPr>
      <w:spacing w:after="160" w:line="259" w:lineRule="auto"/>
      <w:ind w:left="720"/>
      <w:contextualSpacing/>
    </w:pPr>
    <w:rPr>
      <w:kern w:val="0"/>
      <w:sz w:val="22"/>
      <w:szCs w:val="22"/>
      <w:lang w:val="tr-TR"/>
      <w14:ligatures w14:val="none"/>
    </w:rPr>
  </w:style>
  <w:style w:type="character" w:customStyle="1" w:styleId="8">
    <w:name w:val="Alt Bilgi Char"/>
    <w:basedOn w:val="2"/>
    <w:link w:val="4"/>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1817</Words>
  <Characters>12326</Characters>
  <Lines>216</Lines>
  <Paragraphs>60</Paragraphs>
  <TotalTime>55</TotalTime>
  <ScaleCrop>false</ScaleCrop>
  <LinksUpToDate>false</LinksUpToDate>
  <CharactersWithSpaces>14083</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2023-10-10T11:08:00Z</dcterms:created>
  <dc:creator>sumeyyeyilmaz</dc:creator>
  <cp:lastModifiedBy>sumeyyeyilmaz</cp:lastModifiedBy>
  <dcterms:modified xsi:type="dcterms:W3CDTF">2023-10-20T14:41:09Z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