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AĞIR CEZA MAHKEMESİ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{acmTahliyeStatus}</w:t>
      </w:r>
      <w:r>
        <w:rPr>
          <w:rFonts w:ascii="Times New Roman" w:hAnsi="Times New Roman" w:eastAsia="Times New Roman" w:cs="Times New Roman"/>
          <w:b/>
          <w:bCs/>
          <w:color w:val="000000"/>
          <w:kern w:val="0"/>
          <w:highlight w:val="none"/>
          <w:u w:val="single"/>
          <w:lang w:val="tr-TR" w:eastAsia="en-GB"/>
          <w14:ligatures w14:val="none"/>
        </w:rPr>
        <w:t xml:space="preserve">BERAAT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cs="Times New Roman"/>
          <w:iCs/>
          <w:highlight w:val="none"/>
          <w:lang w:val="tr-TR"/>
        </w:rPr>
        <w:t>BERAAT</w:t>
      </w:r>
      <w:r>
        <w:rPr>
          <w:rFonts w:ascii="Times New Roman" w:hAnsi="Times New Roman" w:cs="Times New Roman"/>
          <w:iCs/>
          <w:lang w:val="tr-TR"/>
        </w:rPr>
        <w:t xml:space="preserve"> 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hint="default" w:ascii="Times New Roman" w:hAnsi="Times New Roman" w:eastAsia="Times New Roman" w:cs="Times New Roman"/>
          <w:color w:val="262626"/>
          <w:kern w:val="0"/>
          <w:highlight w:val="magenta"/>
          <w:lang w:val="tr-TR" w:eastAsia="en-GB"/>
          <w14:ligatures w14:val="none"/>
        </w:rPr>
      </w:pPr>
      <w:r>
        <w:rPr>
          <w:rFonts w:hint="default" w:ascii="Times New Roman" w:hAnsi="Times New Roman" w:eastAsia="Times New Roman" w:cs="Times New Roman"/>
          <w:color w:val="262626"/>
          <w:kern w:val="0"/>
          <w:lang w:val="en-US" w:eastAsia="en-GB"/>
          <w14:ligatures w14:val="none"/>
        </w:rPr>
        <w:t>H</w:t>
      </w:r>
      <w:r>
        <w:rPr>
          <w:rFonts w:ascii="Times New Roman" w:hAnsi="Times New Roman" w:eastAsia="Times New Roman" w:cs="Times New Roman"/>
          <w:color w:val="262626"/>
          <w:kern w:val="0"/>
          <w:lang w:val="tr-TR" w:eastAsia="en-GB"/>
          <w14:ligatures w14:val="none"/>
        </w:rPr>
        <w:t xml:space="preserve">akkımda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açılan dava mahkemenizde görülmeye devam ediyor. İddianameye göre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suçunun delili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ascii="Times New Roman" w:hAnsi="Times New Roman" w:eastAsia="Times New Roman" w:cs="Times New Roman"/>
          <w:color w:val="262626"/>
          <w:kern w:val="0"/>
          <w:lang w:val="tr-TR" w:eastAsia="en-GB"/>
          <w14:ligatures w14:val="none"/>
        </w:rPr>
        <w:t xml:space="preserve"> </w:t>
      </w:r>
      <w:r>
        <w:rPr>
          <w:rFonts w:hint="default" w:ascii="Times New Roman" w:hAnsi="Times New Roman" w:eastAsia="Times New Roman" w:cs="Times New Roman"/>
          <w:color w:val="262626"/>
          <w:kern w:val="0"/>
          <w:lang w:val="en-US" w:eastAsia="en-GB"/>
          <w14:ligatures w14:val="none"/>
        </w:rPr>
        <w:t>gerekçe olarak</w:t>
      </w:r>
      <w:r>
        <w:rPr>
          <w:rFonts w:ascii="Times New Roman" w:hAnsi="Times New Roman" w:eastAsia="Times New Roman" w:cs="Times New Roman"/>
          <w:color w:val="262626"/>
          <w:kern w:val="0"/>
          <w:lang w:val="tr-TR" w:eastAsia="en-GB"/>
          <w14:ligatures w14:val="none"/>
        </w:rPr>
        <w:t xml:space="preserve"> gösterildi.</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{acmTutuklulukStatus}</w:t>
      </w:r>
      <w:r>
        <w:rPr>
          <w:rFonts w:ascii="Times New Roman" w:hAnsi="Times New Roman" w:eastAsia="Times New Roman" w:cs="Times New Roman"/>
          <w:color w:val="262626"/>
          <w:kern w:val="0"/>
          <w:lang w:val="tr-TR" w:eastAsia="en-GB"/>
          <w14:ligatures w14:val="none"/>
        </w:rPr>
        <w:t xml:space="preserve">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eastAsia="Times New Roman" w:cs="Times New Roman"/>
          <w:color w:val="262626"/>
          <w:kern w:val="0"/>
          <w:highlight w:val="none"/>
          <w:lang w:val="tr-TR" w:eastAsia="en-GB"/>
          <w14:ligatures w14:val="none"/>
        </w:rPr>
        <w:t xml:space="preserve">BERAATİME </w:t>
      </w:r>
      <w:r>
        <w:rPr>
          <w:rFonts w:ascii="Times New Roman" w:hAnsi="Times New Roman" w:eastAsia="Times New Roman" w:cs="Times New Roman"/>
          <w:color w:val="262626"/>
          <w:kern w:val="0"/>
          <w:lang w:val="tr-TR" w:eastAsia="en-GB"/>
          <w14:ligatures w14:val="none"/>
        </w:rPr>
        <w:t xml:space="preserv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ll</w:t>
      </w:r>
      <w:r>
        <w:rPr>
          <w:rFonts w:hint="default" w:ascii="Times New Roman" w:hAnsi="Times New Roman" w:cs="Times New Roman"/>
          <w:iCs/>
          <w:sz w:val="24"/>
          <w:szCs w:val="24"/>
          <w:u w:val="single"/>
          <w:lang w:val="tr-TR"/>
        </w:rPr>
        <w:t xml:space="preserve">ü </w:t>
      </w:r>
      <w:r>
        <w:rPr>
          <w:rFonts w:ascii="Times New Roman" w:hAnsi="Times New Roman" w:cs="Times New Roman"/>
          <w:iCs/>
          <w:sz w:val="24"/>
          <w:szCs w:val="24"/>
          <w:u w:val="single"/>
          <w:lang w:val="tr"/>
        </w:rPr>
        <w:t xml:space="preserve">Eğitimciler Derneği'nin </w:t>
      </w:r>
      <w:r>
        <w:rPr>
          <w:rFonts w:hint="default" w:ascii="Times New Roman" w:hAnsi="Times New Roman" w:cs="Times New Roman"/>
          <w:iCs/>
          <w:sz w:val="24"/>
          <w:szCs w:val="24"/>
          <w:u w:val="single"/>
          <w:lang w:val="tr-TR"/>
        </w:rPr>
        <w:t>üy</w:t>
      </w:r>
      <w:r>
        <w:rPr>
          <w:rFonts w:ascii="Times New Roman" w:hAnsi="Times New Roman" w:cs="Times New Roman"/>
          <w:iCs/>
          <w:sz w:val="24"/>
          <w:szCs w:val="24"/>
          <w:u w:val="single"/>
          <w:lang w:val="tr"/>
        </w:rPr>
        <w:t>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1440"/>
          <w:tab w:val="left" w:pos="3870"/>
        </w:tabs>
        <w:spacing w:line="276" w:lineRule="auto"/>
        <w:ind w:right="-378"/>
        <w:jc w:val="both"/>
        <w:rPr>
          <w:rFonts w:hint="default" w:ascii="Times New Roman Regular" w:hAnsi="Times New Roman Regular" w:cs="Times New Roman Regular"/>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yorumlanma şeklinin, bu hükmün kapsamını öngörülemeyen bir şekilde genişletmesi, keyfi müdahalelere karşı gerekli asgari korumayı sağla</w:t>
      </w:r>
      <w:r>
        <w:rPr>
          <w:rFonts w:hint="default" w:ascii="Times New Roman Regular" w:hAnsi="Times New Roman Regular" w:cs="Times New Roman Regular"/>
          <w:iCs/>
          <w:sz w:val="24"/>
          <w:szCs w:val="24"/>
          <w:lang w:val="tr"/>
        </w:rPr>
        <w:t xml:space="preserve">maması </w:t>
      </w:r>
      <w:r>
        <w:rPr>
          <w:rFonts w:hint="default" w:ascii="Times New Roman Regular" w:hAnsi="Times New Roman Regular" w:cs="Times New Roman Regular"/>
          <w:sz w:val="24"/>
          <w:szCs w:val="24"/>
          <w:lang w:val="tr"/>
        </w:rPr>
        <w:t>gibi nedenlerle anılan Sözleşme hükümlerinin ihlal edildiğine karar vermiştir.</w:t>
      </w:r>
    </w:p>
    <w:p>
      <w:pPr>
        <w:pStyle w:val="7"/>
        <w:tabs>
          <w:tab w:val="left" w:pos="3870"/>
        </w:tabs>
        <w:spacing w:line="240" w:lineRule="auto"/>
        <w:ind w:left="630" w:right="-378"/>
        <w:jc w:val="both"/>
        <w:rPr>
          <w:rFonts w:hint="default" w:ascii="Times New Roman Regular" w:hAnsi="Times New Roman Regular" w:cs="Times New Roman Regular"/>
          <w:iCs/>
          <w:sz w:val="24"/>
          <w:szCs w:val="24"/>
          <w:lang w:val="tr"/>
        </w:rPr>
      </w:pPr>
    </w:p>
    <w:p>
      <w:pPr>
        <w:pStyle w:val="7"/>
        <w:numPr>
          <w:ilvl w:val="0"/>
          <w:numId w:val="1"/>
        </w:numPr>
        <w:spacing w:line="276" w:lineRule="auto"/>
        <w:jc w:val="both"/>
        <w:rPr>
          <w:rFonts w:hint="default" w:ascii="Times New Roman Regular" w:hAnsi="Times New Roman Regular" w:cs="Times New Roman Regular"/>
          <w:b/>
          <w:bCs/>
          <w:iCs/>
          <w:sz w:val="24"/>
          <w:szCs w:val="24"/>
          <w:lang w:val="tr"/>
        </w:rPr>
      </w:pPr>
      <w:r>
        <w:rPr>
          <w:rFonts w:hint="default" w:ascii="Times New Roman Regular" w:hAnsi="Times New Roman Regular" w:eastAsia="Times New Roman" w:cs="Times New Roman Regular"/>
          <w:b/>
          <w:bCs/>
          <w:color w:val="000000"/>
          <w:kern w:val="0"/>
          <w:sz w:val="24"/>
          <w:szCs w:val="24"/>
          <w:highlight w:val="none"/>
          <w:u w:val="none"/>
          <w:lang w:val="en-US" w:eastAsia="en-GB"/>
          <w14:ligatures w14:val="none"/>
        </w:rPr>
        <w:t>{acmTahliyeStatus}</w:t>
      </w:r>
      <w:r>
        <w:rPr>
          <w:rFonts w:hint="default" w:ascii="Times New Roman Regular" w:hAnsi="Times New Roman Regular" w:cs="Times New Roman Regular"/>
          <w:b/>
          <w:bCs/>
          <w:iCs/>
          <w:sz w:val="24"/>
          <w:szCs w:val="24"/>
          <w:highlight w:val="none"/>
          <w:lang w:val="tr-TR"/>
        </w:rPr>
        <w:t>BERAAT</w:t>
      </w:r>
      <w:r>
        <w:rPr>
          <w:rFonts w:hint="default" w:ascii="Times New Roman Regular" w:hAnsi="Times New Roman Regular" w:cs="Times New Roman Regular"/>
          <w:b/>
          <w:bCs/>
          <w:iCs/>
          <w:sz w:val="24"/>
          <w:szCs w:val="24"/>
          <w:lang w:val="tr"/>
        </w:rPr>
        <w:t xml:space="preserve"> Kararına Dayanak Olacak Yeni Delil;</w:t>
      </w:r>
    </w:p>
    <w:p>
      <w:pPr>
        <w:pStyle w:val="7"/>
        <w:tabs>
          <w:tab w:val="left" w:pos="3870"/>
        </w:tabs>
        <w:spacing w:line="240" w:lineRule="auto"/>
        <w:ind w:left="0" w:leftChars="0" w:right="-378" w:firstLine="0" w:firstLineChars="0"/>
        <w:jc w:val="both"/>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cs="Times New Roman Regular"/>
          <w:b/>
          <w:bCs/>
          <w:iCs/>
          <w:sz w:val="24"/>
          <w:szCs w:val="24"/>
          <w:lang w:val="tr"/>
        </w:rPr>
        <w:t xml:space="preserve">AİHM’e </w:t>
      </w:r>
      <w:r>
        <w:rPr>
          <w:rFonts w:hint="default" w:ascii="Times New Roman Regular" w:hAnsi="Times New Roman Regular" w:eastAsia="Calibri" w:cs="Times New Roman Regular"/>
          <w:iCs/>
          <w:kern w:val="2"/>
          <w:sz w:val="24"/>
          <w:szCs w:val="24"/>
          <w:lang w:val="tr"/>
          <w14:ligatures w14:val="standardContextual"/>
        </w:rPr>
        <w:t xml:space="preserve">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720"/>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720"/>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Hem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numPr>
          <w:ilvl w:val="0"/>
          <w:numId w:val="2"/>
        </w:numPr>
        <w:tabs>
          <w:tab w:val="left" w:pos="720"/>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numPr>
          <w:ilvl w:val="0"/>
          <w:numId w:val="0"/>
        </w:numPr>
        <w:tabs>
          <w:tab w:val="left" w:pos="3870"/>
        </w:tabs>
        <w:spacing w:line="276" w:lineRule="auto"/>
        <w:ind w:left="270" w:leftChars="0" w:right="-378" w:rightChars="0"/>
        <w:jc w:val="both"/>
        <w:rPr>
          <w:rFonts w:ascii="Times New Roman" w:hAnsi="Times New Roman" w:cs="Times New Roman"/>
          <w:sz w:val="24"/>
          <w:szCs w:val="24"/>
        </w:rPr>
      </w:pPr>
    </w:p>
    <w:p>
      <w:pPr>
        <w:pStyle w:val="7"/>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CMK.104,223,TCK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rPr>
        <w:t xml:space="preserve"> </w:t>
      </w: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 </w:t>
      </w:r>
      <w:r>
        <w:rPr>
          <w:rFonts w:ascii="Times New Roman" w:hAnsi="Times New Roman" w:cs="Times New Roman"/>
          <w:color w:val="010000"/>
          <w:shd w:val="clear" w:color="auto" w:fill="FFFFFF"/>
        </w:rPr>
        <w:t>AY 36, 90, 138, 153; AİHS 6, 7, 11, 46; 6216 sayılı Yasa 50 ve CMK</w:t>
      </w:r>
      <w:r>
        <w:rPr>
          <w:rFonts w:ascii="Times New Roman" w:hAnsi="Times New Roman" w:cs="Times New Roman"/>
          <w:color w:val="010000"/>
          <w:shd w:val="clear" w:color="auto" w:fill="FFFFFF"/>
          <w:lang w:val="tr-TR"/>
        </w:rPr>
        <w:t xml:space="preserve">.104, 223/2, TCK ilgili </w:t>
      </w:r>
      <w:r>
        <w:rPr>
          <w:rFonts w:ascii="Times New Roman" w:hAnsi="Times New Roman" w:cs="Times New Roman"/>
          <w:color w:val="010000"/>
          <w:shd w:val="clear" w:color="auto" w:fill="FFFFFF"/>
        </w:rPr>
        <w:t xml:space="preserve">maddeleri uyarınca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cs="Times New Roman"/>
          <w:color w:val="010000"/>
          <w:shd w:val="clear" w:color="auto" w:fill="FFFFFF"/>
          <w:lang w:val="tr-TR"/>
        </w:rPr>
        <w:t>BERAATİME</w:t>
      </w:r>
      <w:r>
        <w:rPr>
          <w:rFonts w:ascii="Times New Roman" w:hAnsi="Times New Roman" w:cs="Times New Roman"/>
          <w:color w:val="010000"/>
          <w:shd w:val="clear" w:color="auto" w:fill="FFFFFF"/>
        </w:rPr>
        <w:t xml:space="preserv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bookmarkStart w:id="1" w:name="_GoBack"/>
      <w:bookmarkEnd w:id="1"/>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23E2E"/>
    <w:rsid w:val="00036F64"/>
    <w:rsid w:val="000A475D"/>
    <w:rsid w:val="00172969"/>
    <w:rsid w:val="001A74BC"/>
    <w:rsid w:val="00340593"/>
    <w:rsid w:val="003A194F"/>
    <w:rsid w:val="0051747B"/>
    <w:rsid w:val="00597C63"/>
    <w:rsid w:val="005A7513"/>
    <w:rsid w:val="00630628"/>
    <w:rsid w:val="00655A11"/>
    <w:rsid w:val="008C63BB"/>
    <w:rsid w:val="009325E1"/>
    <w:rsid w:val="00955FE4"/>
    <w:rsid w:val="00A1227E"/>
    <w:rsid w:val="00B97C3A"/>
    <w:rsid w:val="00BA0CA2"/>
    <w:rsid w:val="00CA2726"/>
    <w:rsid w:val="00CE6A30"/>
    <w:rsid w:val="00D06B64"/>
    <w:rsid w:val="00D76324"/>
    <w:rsid w:val="00DD285B"/>
    <w:rsid w:val="00E32B94"/>
    <w:rsid w:val="00EE06F7"/>
    <w:rsid w:val="64FC0055"/>
    <w:rsid w:val="6CFDE6E7"/>
    <w:rsid w:val="CFED9AD6"/>
    <w:rsid w:val="EB5FC619"/>
    <w:rsid w:val="EB7E2E45"/>
    <w:rsid w:val="EF6F45F1"/>
    <w:rsid w:val="EFEF20F0"/>
    <w:rsid w:val="F3D9ADF1"/>
    <w:rsid w:val="F77FA6C8"/>
    <w:rsid w:val="FF7D013F"/>
    <w:rsid w:val="FFFBBA7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1796</Words>
  <Characters>12202</Characters>
  <Lines>217</Lines>
  <Paragraphs>58</Paragraphs>
  <TotalTime>6</TotalTime>
  <ScaleCrop>false</ScaleCrop>
  <LinksUpToDate>false</LinksUpToDate>
  <CharactersWithSpaces>13940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2023-10-11T23:44:00Z</dcterms:created>
  <dc:creator>sumeyyeyilmaz</dc:creator>
  <cp:lastModifiedBy>Hakan Y</cp:lastModifiedBy>
  <dcterms:modified xsi:type="dcterms:W3CDTF">2023-11-01T22:47:00Z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