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NÖBETÇİ SULH CEZA HAKİMLİĞİNE</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Sorgu No: 20../….</w:t>
      </w: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TAHLİYE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tutukluluk kararının kaldırılarak TAHLİYE kararı verilmesi talebi hakkındadır. </w:t>
      </w:r>
    </w:p>
    <w:p>
      <w:pPr>
        <w:spacing w:line="276" w:lineRule="auto"/>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cs="Times New Roman"/>
          <w:b/>
          <w:bCs/>
          <w:iCs/>
          <w:lang w:val="tr-TR"/>
        </w:rPr>
        <w:t>Tutuklama Tarihi</w:t>
      </w:r>
      <w:r>
        <w:rPr>
          <w:rFonts w:ascii="Times New Roman" w:hAnsi="Times New Roman" w:cs="Times New Roman"/>
          <w:iCs/>
          <w:lang w:val="tr-TR"/>
        </w:rPr>
        <w:t xml:space="preserve">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highlight w:val="none"/>
          <w:lang w:val="en-US" w:eastAsia="en-GB"/>
          <w14:ligatures w14:val="none"/>
        </w:rPr>
        <w:t>Hak</w:t>
      </w:r>
      <w:r>
        <w:rPr>
          <w:rFonts w:hint="default" w:ascii="Times New Roman" w:hAnsi="Times New Roman" w:eastAsia="Times New Roman" w:cs="Times New Roman"/>
          <w:color w:val="262626"/>
          <w:kern w:val="0"/>
          <w:highlight w:val="none"/>
          <w:lang w:val="tr-TR" w:eastAsia="en-GB"/>
          <w14:ligatures w14:val="none"/>
        </w:rPr>
        <w:t>kımda</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en-US" w:eastAsia="en-GB"/>
          <w14:ligatures w14:val="none"/>
        </w:rPr>
        <w:t>{queryDate}</w:t>
      </w:r>
      <w:r>
        <w:rPr>
          <w:rFonts w:ascii="Times New Roman" w:hAnsi="Times New Roman" w:eastAsia="Times New Roman" w:cs="Times New Roman"/>
          <w:color w:val="262626"/>
          <w:kern w:val="0"/>
          <w:highlight w:val="none"/>
          <w:lang w:val="tr-TR" w:eastAsia="en-GB"/>
          <w14:ligatures w14:val="none"/>
        </w:rPr>
        <w:t xml:space="preserve"> tarihli</w:t>
      </w:r>
      <w:r>
        <w:rPr>
          <w:rFonts w:ascii="Times New Roman" w:hAnsi="Times New Roman" w:eastAsia="Times New Roman" w:cs="Times New Roman"/>
          <w:color w:val="262626"/>
          <w:kern w:val="0"/>
          <w:lang w:val="tr-TR" w:eastAsia="en-GB"/>
          <w14:ligatures w14:val="none"/>
        </w:rPr>
        <w:t xml:space="preserve"> sorgu neticesinde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tutuklama kararı verildi. Emniyette alınan ifadede sorulan sorular ve Sulh Ceza Hakimliği tarafından verilen karara göre </w:t>
      </w:r>
      <w:r>
        <w:rPr>
          <w:rFonts w:hint="default" w:ascii="Times New Roman" w:hAnsi="Times New Roman" w:eastAsia="Times New Roman" w:cs="Times New Roman"/>
          <w:color w:val="262626"/>
          <w:kern w:val="0"/>
          <w:highlight w:val="none"/>
          <w:lang w:val="tr-TR" w:eastAsia="en-GB"/>
          <w14:ligatures w14:val="none"/>
        </w:rPr>
        <w:t>{</w:t>
      </w:r>
      <w:r>
        <w:rPr>
          <w:rFonts w:hint="default" w:ascii="Times New Roman" w:hAnsi="Times New Roman" w:eastAsia="Times New Roman" w:cs="Times New Roman"/>
          <w:color w:val="262626"/>
          <w:kern w:val="0"/>
          <w:highlight w:val="none"/>
          <w:lang w:val="en-US" w:eastAsia="en-GB"/>
          <w14:ligatures w14:val="none"/>
        </w:rPr>
        <w:t>otherAccusations</w:t>
      </w:r>
      <w:r>
        <w:rPr>
          <w:rFonts w:hint="default" w:ascii="Times New Roman" w:hAnsi="Times New Roman" w:eastAsia="Times New Roman" w:cs="Times New Roman"/>
          <w:color w:val="262626"/>
          <w:kern w:val="0"/>
          <w:highlight w:val="none"/>
          <w:lang w:val="tr-TR" w:eastAsia="en-GB"/>
          <w14:ligatures w14:val="none"/>
        </w:rPr>
        <w:t>}</w:t>
      </w:r>
      <w:r>
        <w:rPr>
          <w:rFonts w:ascii="Times New Roman" w:hAnsi="Times New Roman" w:eastAsia="Times New Roman" w:cs="Times New Roman"/>
          <w:color w:val="262626"/>
          <w:kern w:val="0"/>
          <w:lang w:val="tr-TR" w:eastAsia="en-GB"/>
          <w14:ligatures w14:val="none"/>
        </w:rPr>
        <w:t xml:space="preserve"> gerekçe gösterilerek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olarak suçlandım ve tutuklandım.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Tutuklama kararı verilmesinden sonra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Sulh Ceza Hakimliği tarafından verilen tutuklama kararına gerekçe yapılan isnatlarla birebir aynı olması ve AİHM kararlarının bağlayıcı olduğu hususu dikkate alınarak TAHLİYEME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Tahliye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tutuklama kararımda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CMK.100,104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 104. maddeleri uyarınca TAHLİYEME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highlight w:val="yellow"/>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pStyle w:val="7"/>
        <w:tabs>
          <w:tab w:val="left" w:pos="3870"/>
        </w:tabs>
        <w:spacing w:line="276" w:lineRule="auto"/>
        <w:ind w:left="630" w:right="-378"/>
        <w:jc w:val="both"/>
        <w:rPr>
          <w:rFonts w:ascii="Times New Roman" w:hAnsi="Times New Roman" w:cs="Times New Roman"/>
          <w:color w:val="010000"/>
          <w:sz w:val="24"/>
          <w:szCs w:val="24"/>
          <w:highlight w:val="yellow"/>
          <w:shd w:val="clear" w:color="auto" w:fill="FFFFFF"/>
        </w:rPr>
      </w:pP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bookmarkStart w:id="1" w:name="_GoBack"/>
      <w:bookmarkEnd w:id="1"/>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1C60"/>
    <w:rsid w:val="001A74BC"/>
    <w:rsid w:val="00303CD0"/>
    <w:rsid w:val="00340593"/>
    <w:rsid w:val="0049565B"/>
    <w:rsid w:val="0051747B"/>
    <w:rsid w:val="00597C63"/>
    <w:rsid w:val="005A7513"/>
    <w:rsid w:val="006211D2"/>
    <w:rsid w:val="00714CF5"/>
    <w:rsid w:val="007C473F"/>
    <w:rsid w:val="00955FE4"/>
    <w:rsid w:val="00BA0CA2"/>
    <w:rsid w:val="00C26B20"/>
    <w:rsid w:val="00C9330F"/>
    <w:rsid w:val="00CA2726"/>
    <w:rsid w:val="00D76324"/>
    <w:rsid w:val="00E32B94"/>
    <w:rsid w:val="00EE06F7"/>
    <w:rsid w:val="00F562E9"/>
    <w:rsid w:val="6EE2EAB9"/>
    <w:rsid w:val="6FEDD723"/>
    <w:rsid w:val="79BE1499"/>
    <w:rsid w:val="AF63F8CA"/>
    <w:rsid w:val="DEE7CB4E"/>
    <w:rsid w:val="FC98EDDA"/>
    <w:rsid w:val="FCBB77D3"/>
    <w:rsid w:val="FDE5210C"/>
    <w:rsid w:val="FFCBB70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1817</Words>
  <Characters>12326</Characters>
  <Lines>216</Lines>
  <Paragraphs>60</Paragraphs>
  <TotalTime>0</TotalTime>
  <ScaleCrop>false</ScaleCrop>
  <LinksUpToDate>false</LinksUpToDate>
  <CharactersWithSpaces>14083</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2023-10-10T18:08:00Z</dcterms:created>
  <dc:creator>sumeyyeyilmaz</dc:creator>
  <cp:lastModifiedBy>Hakan Y</cp:lastModifiedBy>
  <dcterms:modified xsi:type="dcterms:W3CDTF">2023-11-01T22:47:48Z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