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color w:val="000000"/>
          <w:kern w:val="0"/>
          <w:lang w:val="tr-TR" w:eastAsia="en-GB"/>
          <w14:ligatures w14:val="none"/>
        </w:rPr>
        <w:t>YARGITAY 3. CEZA DAİRESİ BAŞKANLIĞI’NA</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Dosya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r>
        <w:rPr>
          <w:rFonts w:ascii="Times New Roman" w:hAnsi="Times New Roman" w:eastAsia="Times New Roman" w:cs="Times New Roman"/>
          <w:b/>
          <w:bCs/>
          <w:color w:val="000000"/>
          <w:kern w:val="0"/>
          <w:lang w:val="tr-TR" w:eastAsia="en-GB"/>
          <w14:ligatures w14:val="none"/>
        </w:rPr>
        <w:t>Esas</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hint="default" w:ascii="Times New Roman" w:hAnsi="Times New Roman" w:eastAsia="Times New Roman" w:cs="Times New Roman"/>
          <w:b/>
          <w:bCs/>
          <w:color w:val="000000"/>
          <w:kern w:val="0"/>
          <w:highlight w:val="none"/>
          <w:u w:val="single"/>
          <w:lang w:val="en-US" w:eastAsia="en-GB"/>
          <w14:ligatures w14:val="none"/>
        </w:rPr>
        <w:t>{tahliyeStatus}</w:t>
      </w:r>
      <w:r>
        <w:rPr>
          <w:rFonts w:ascii="Times New Roman" w:hAnsi="Times New Roman" w:eastAsia="Times New Roman" w:cs="Times New Roman"/>
          <w:b/>
          <w:bCs/>
          <w:color w:val="000000"/>
          <w:kern w:val="0"/>
          <w:u w:val="single"/>
          <w:lang w:val="tr-TR" w:eastAsia="en-GB"/>
          <w14:ligatures w14:val="none"/>
        </w:rPr>
        <w:t xml:space="preserve">KARARIN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BOZULMASI 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SANIK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AİHM tarafından 26 Eylül 2023 tarihinde açıklanan Yalçınkaya/Türkiye kararı gereğince,</w:t>
      </w:r>
      <w:r>
        <w:rPr>
          <w:rFonts w:hint="default" w:ascii="Times New Roman" w:hAnsi="Times New Roman" w:cs="Times New Roman"/>
          <w:iCs/>
          <w:lang w:val="en-US"/>
        </w:rPr>
        <w:t xml:space="preserve"> </w:t>
      </w:r>
      <w:r>
        <w:rPr>
          <w:rFonts w:hint="default" w:ascii="Times New Roman" w:hAnsi="Times New Roman" w:eastAsia="Times New Roman" w:cs="Times New Roman"/>
          <w:b w:val="0"/>
          <w:bCs w:val="0"/>
          <w:color w:val="000000"/>
          <w:kern w:val="0"/>
          <w:highlight w:val="none"/>
          <w:u w:val="none"/>
          <w:lang w:val="en-US" w:eastAsia="en-GB"/>
          <w14:ligatures w14:val="none"/>
        </w:rPr>
        <w:t>{tahliyeStatus}</w:t>
      </w:r>
      <w:r>
        <w:rPr>
          <w:rFonts w:ascii="Times New Roman" w:hAnsi="Times New Roman" w:cs="Times New Roman"/>
          <w:iCs/>
          <w:lang w:val="tr-TR"/>
        </w:rPr>
        <w:t>mahkumiyet kararının BOZULMASI</w:t>
      </w:r>
      <w:r>
        <w:rPr>
          <w:rFonts w:hint="default" w:ascii="Times New Roman" w:hAnsi="Times New Roman" w:cs="Times New Roman"/>
          <w:iCs/>
          <w:lang w:val="en-US"/>
        </w:rPr>
        <w:t xml:space="preserve"> </w:t>
      </w:r>
      <w:r>
        <w:rPr>
          <w:rFonts w:ascii="Times New Roman" w:hAnsi="Times New Roman" w:cs="Times New Roman"/>
          <w:iCs/>
          <w:lang w:val="tr-TR"/>
        </w:rPr>
        <w:t xml:space="preserve">kararı verilmesi talebi hakkındadır. </w:t>
      </w: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hint="default" w:ascii="Times New Roman" w:hAnsi="Times New Roman" w:eastAsia="Times New Roman" w:cs="Times New Roman"/>
          <w:color w:val="262626"/>
          <w:kern w:val="0"/>
          <w:lang w:val="en-US" w:eastAsia="en-GB"/>
          <w14:ligatures w14:val="none"/>
        </w:rPr>
        <w:t>H</w:t>
      </w:r>
      <w:r>
        <w:rPr>
          <w:rFonts w:ascii="Times New Roman" w:hAnsi="Times New Roman" w:eastAsia="Times New Roman" w:cs="Times New Roman"/>
          <w:color w:val="262626"/>
          <w:kern w:val="0"/>
          <w:lang w:val="tr-TR" w:eastAsia="en-GB"/>
          <w14:ligatures w14:val="none"/>
        </w:rPr>
        <w:t xml:space="preserve">akkımda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suçlamasıyla açılan dava neticesinde </w:t>
      </w:r>
      <w:r>
        <w:rPr>
          <w:rFonts w:hint="default" w:ascii="Times New Roman" w:hAnsi="Times New Roman" w:eastAsia="Times New Roman" w:cs="Times New Roman"/>
          <w:color w:val="262626"/>
          <w:kern w:val="0"/>
          <w:lang w:val="en-US"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suçundan </w:t>
      </w:r>
      <w:r>
        <w:rPr>
          <w:rFonts w:hint="default" w:ascii="Times New Roman" w:hAnsi="Times New Roman" w:eastAsia="Times New Roman" w:cs="Times New Roman"/>
          <w:color w:val="262626"/>
          <w:kern w:val="0"/>
          <w:highlight w:val="none"/>
          <w:lang w:val="tr-TR" w:eastAsia="en-GB"/>
          <w14:ligatures w14:val="none"/>
        </w:rPr>
        <w:t>{prisonSentence}</w:t>
      </w:r>
      <w:r>
        <w:rPr>
          <w:rFonts w:ascii="Times New Roman" w:hAnsi="Times New Roman" w:eastAsia="Times New Roman" w:cs="Times New Roman"/>
          <w:color w:val="262626"/>
          <w:kern w:val="0"/>
          <w:lang w:val="tr-TR" w:eastAsia="en-GB"/>
          <w14:ligatures w14:val="none"/>
        </w:rPr>
        <w:t xml:space="preserve"> hapis cezası verildi. Mahkeme kararına göre delil olarak </w:t>
      </w:r>
      <w:r>
        <w:rPr>
          <w:rFonts w:hint="default" w:ascii="Times New Roman" w:hAnsi="Times New Roman" w:eastAsia="Times New Roman" w:cs="Times New Roman"/>
          <w:color w:val="262626"/>
          <w:kern w:val="0"/>
          <w:highlight w:val="none"/>
          <w:lang w:val="tr-TR" w:eastAsia="en-GB"/>
          <w14:ligatures w14:val="none"/>
        </w:rPr>
        <w:t>{otherAccusations}</w:t>
      </w:r>
      <w:r>
        <w:rPr>
          <w:rFonts w:hint="default" w:ascii="Times New Roman" w:hAnsi="Times New Roman" w:eastAsia="Times New Roman" w:cs="Times New Roman"/>
          <w:color w:val="262626"/>
          <w:kern w:val="0"/>
          <w:highlight w:val="none"/>
          <w:lang w:val="en-US" w:eastAsia="en-GB"/>
          <w14:ligatures w14:val="none"/>
        </w:rPr>
        <w:t xml:space="preserve"> </w:t>
      </w:r>
      <w:r>
        <w:rPr>
          <w:rFonts w:ascii="Times New Roman" w:hAnsi="Times New Roman" w:eastAsia="Times New Roman" w:cs="Times New Roman"/>
          <w:color w:val="262626"/>
          <w:kern w:val="0"/>
          <w:lang w:val="tr-TR" w:eastAsia="en-GB"/>
          <w14:ligatures w14:val="none"/>
        </w:rPr>
        <w:t xml:space="preserve">gösterildi. </w:t>
      </w:r>
      <w:r>
        <w:rPr>
          <w:rFonts w:hint="default" w:ascii="Times New Roman" w:hAnsi="Times New Roman" w:eastAsia="Times New Roman" w:cs="Times New Roman"/>
          <w:b w:val="0"/>
          <w:bCs w:val="0"/>
          <w:color w:val="000000"/>
          <w:kern w:val="0"/>
          <w:highlight w:val="none"/>
          <w:u w:val="none"/>
          <w:lang w:val="en-US" w:eastAsia="en-GB"/>
          <w14:ligatures w14:val="none"/>
        </w:rPr>
        <w:t>{tutuklulukStatus}</w:t>
      </w:r>
      <w:r>
        <w:rPr>
          <w:rFonts w:ascii="Times New Roman" w:hAnsi="Times New Roman" w:eastAsia="Times New Roman" w:cs="Times New Roman"/>
          <w:color w:val="262626"/>
          <w:kern w:val="0"/>
          <w:lang w:val="tr-TR" w:eastAsia="en-GB"/>
          <w14:ligatures w14:val="none"/>
        </w:rPr>
        <w:t xml:space="preserve"> Mahkeme kararına karşı yaptığım istinaf başvurusu da esaslı şekilde incelenmeksizin ret kararı verildi ve kararı süresi içinde temyiz ettim.</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 xml:space="preserve">Hakkımda dava açılmasından sonra tüm suçlamayı boşa çıkartacak bir gelişme yaşandı. Avrupa İnsan Hakları Mahkemesi Büyük Dairesi tarafından benim davamı da doğrudan ilgilendiren bir karar verildi. 26 Eylül 2023 tarihinde AİHM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mahkumiyet kararına gerekçe yapılan isnatlarla birebir aynı olması ve AİHM kararlarının bağlayıcı olduğu hususu dikkate alınarak </w:t>
      </w:r>
      <w:r>
        <w:rPr>
          <w:rFonts w:hint="default" w:ascii="Times New Roman" w:hAnsi="Times New Roman" w:eastAsia="Times New Roman" w:cs="Times New Roman"/>
          <w:b w:val="0"/>
          <w:bCs w:val="0"/>
          <w:color w:val="000000"/>
          <w:kern w:val="0"/>
          <w:highlight w:val="none"/>
          <w:u w:val="none"/>
          <w:lang w:val="en-US" w:eastAsia="en-GB"/>
          <w14:ligatures w14:val="none"/>
        </w:rPr>
        <w:t xml:space="preserve">{tahliyeText} </w:t>
      </w:r>
      <w:r>
        <w:rPr>
          <w:rFonts w:ascii="Times New Roman" w:hAnsi="Times New Roman" w:eastAsia="Times New Roman" w:cs="Times New Roman"/>
          <w:color w:val="262626"/>
          <w:kern w:val="0"/>
          <w:lang w:val="tr-TR" w:eastAsia="en-GB"/>
          <w14:ligatures w14:val="none"/>
        </w:rPr>
        <w:t>kararın BOZULMASINA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480"/>
          <w:tab w:val="left" w:pos="2880"/>
          <w:tab w:val="left" w:pos="3840"/>
          <w:tab w:val="left" w:pos="3870"/>
          <w:tab w:val="clear" w:pos="425"/>
        </w:tabs>
        <w:spacing w:line="276" w:lineRule="auto"/>
        <w:ind w:left="425" w:leftChars="0" w:right="-378" w:rightChars="0" w:hanging="425" w:firstLineChars="0"/>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ll</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 xml:space="preserve"> Eğitimciler Derneği'nin </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480"/>
          <w:tab w:val="left" w:pos="2880"/>
          <w:tab w:val="left" w:pos="3840"/>
          <w:tab w:val="left" w:pos="3870"/>
          <w:tab w:val="clear" w:pos="425"/>
        </w:tabs>
        <w:spacing w:line="276" w:lineRule="auto"/>
        <w:ind w:left="425" w:leftChars="0" w:right="-378" w:rightChars="0" w:hanging="425" w:firstLineChars="0"/>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480"/>
          <w:tab w:val="left" w:pos="2880"/>
          <w:tab w:val="left" w:pos="3840"/>
          <w:tab w:val="left" w:pos="3870"/>
          <w:tab w:val="clear" w:pos="425"/>
        </w:tabs>
        <w:spacing w:line="276" w:lineRule="auto"/>
        <w:ind w:left="425" w:leftChars="0" w:right="-378" w:rightChars="0" w:hanging="425" w:firstLineChars="0"/>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480"/>
          <w:tab w:val="left" w:pos="2880"/>
          <w:tab w:val="left" w:pos="3840"/>
          <w:tab w:val="left" w:pos="3870"/>
          <w:tab w:val="clear" w:pos="425"/>
        </w:tabs>
        <w:spacing w:line="276" w:lineRule="auto"/>
        <w:ind w:left="425" w:leftChars="0" w:right="-378" w:rightChars="0" w:hanging="425" w:firstLineChars="0"/>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480"/>
          <w:tab w:val="left" w:pos="2880"/>
          <w:tab w:val="left" w:pos="3840"/>
          <w:tab w:val="left" w:pos="3870"/>
          <w:tab w:val="clear" w:pos="425"/>
        </w:tabs>
        <w:spacing w:line="276" w:lineRule="auto"/>
        <w:ind w:left="425" w:leftChars="0" w:right="-378" w:rightChars="0" w:hanging="425" w:firstLineChars="0"/>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480"/>
          <w:tab w:val="left" w:pos="2880"/>
          <w:tab w:val="left" w:pos="3840"/>
          <w:tab w:val="left" w:pos="3870"/>
          <w:tab w:val="clear" w:pos="425"/>
        </w:tabs>
        <w:spacing w:line="276" w:lineRule="auto"/>
        <w:ind w:left="425" w:leftChars="0" w:right="-378" w:rightChars="0" w:hanging="425" w:firstLineChars="0"/>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480"/>
          <w:tab w:val="left" w:pos="2880"/>
          <w:tab w:val="left" w:pos="3840"/>
          <w:tab w:val="left" w:pos="3870"/>
          <w:tab w:val="clear" w:pos="425"/>
        </w:tabs>
        <w:spacing w:line="276" w:lineRule="auto"/>
        <w:ind w:left="425" w:leftChars="0" w:right="-378" w:rightChars="0" w:hanging="425" w:firstLineChars="0"/>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1440"/>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960"/>
          <w:tab w:val="left" w:pos="1200"/>
          <w:tab w:val="left" w:pos="3870"/>
        </w:tabs>
        <w:spacing w:line="276" w:lineRule="auto"/>
        <w:ind w:left="960" w:leftChars="0" w:right="-378" w:hanging="600" w:firstLineChars="0"/>
        <w:jc w:val="both"/>
        <w:rPr>
          <w:rFonts w:ascii="Times New Roman" w:hAnsi="Times New Roman" w:cs="Times New Roman"/>
          <w:b/>
          <w:bCs/>
          <w:iCs/>
          <w:sz w:val="24"/>
          <w:szCs w:val="24"/>
          <w:lang w:val="tr"/>
        </w:rPr>
      </w:pPr>
      <w:r>
        <w:rPr>
          <w:rFonts w:hint="default" w:ascii="Times New Roman" w:hAnsi="Times New Roman" w:eastAsia="Times New Roman" w:cs="Times New Roman"/>
          <w:b/>
          <w:bCs/>
          <w:color w:val="000000"/>
          <w:kern w:val="0"/>
          <w:highlight w:val="none"/>
          <w:u w:val="none"/>
          <w:lang w:val="en-US" w:eastAsia="en-GB"/>
          <w14:ligatures w14:val="none"/>
        </w:rPr>
        <w:t>{tahliyeStatus}</w:t>
      </w:r>
      <w:r>
        <w:rPr>
          <w:rFonts w:ascii="Times New Roman" w:hAnsi="Times New Roman" w:cs="Times New Roman"/>
          <w:b/>
          <w:bCs/>
          <w:iCs/>
          <w:sz w:val="24"/>
          <w:szCs w:val="24"/>
          <w:lang w:val="tr"/>
        </w:rPr>
        <w:t>B</w:t>
      </w:r>
      <w:r>
        <w:rPr>
          <w:rFonts w:hint="default" w:ascii="Times New Roman" w:hAnsi="Times New Roman" w:cs="Times New Roman"/>
          <w:b/>
          <w:bCs/>
          <w:iCs/>
          <w:sz w:val="24"/>
          <w:szCs w:val="24"/>
          <w:lang w:val="en-US"/>
        </w:rPr>
        <w:t>OZMA</w:t>
      </w:r>
      <w:r>
        <w:rPr>
          <w:rFonts w:ascii="Times New Roman" w:hAnsi="Times New Roman" w:cs="Times New Roman"/>
          <w:b/>
          <w:bCs/>
          <w:iCs/>
          <w:sz w:val="24"/>
          <w:szCs w:val="24"/>
          <w:lang w:val="tr"/>
        </w:rPr>
        <w:t xml:space="preserve"> Kararına Dayanak Olacak Yeni Delil;</w:t>
      </w:r>
    </w:p>
    <w:p>
      <w:pPr>
        <w:numPr>
          <w:ilvl w:val="0"/>
          <w:numId w:val="4"/>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7. Maddesi ile İlgili Tespitleri ve İhlal Gerekçesi</w:t>
      </w:r>
    </w:p>
    <w:p>
      <w:pPr>
        <w:numPr>
          <w:ilvl w:val="0"/>
          <w:numId w:val="0"/>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AİHS’nin</w:t>
      </w:r>
      <w:r>
        <w:rPr>
          <w:rFonts w:hint="default" w:ascii="Times New Roman Regular" w:hAnsi="Times New Roman Regular" w:eastAsia="Calibri" w:cs="Times New Roman Regular"/>
          <w:iCs/>
          <w:kern w:val="2"/>
          <w:sz w:val="24"/>
          <w:szCs w:val="24"/>
          <w:lang w:val="tr"/>
          <w14:ligatures w14:val="standardContextual"/>
        </w:rPr>
        <w:t xml:space="preserve"> 7/1. maddesi şöyledir: </w:t>
      </w:r>
      <w:r>
        <w:rPr>
          <w:rFonts w:hint="default" w:ascii="Times New Roman Regular" w:hAnsi="Times New Roman Regular" w:eastAsia="Calibri" w:cs="Times New Roman Regular"/>
          <w:i/>
          <w:iCs/>
          <w:kern w:val="2"/>
          <w:sz w:val="24"/>
          <w:szCs w:val="24"/>
          <w:lang w:val="tr"/>
          <w14:ligatures w14:val="standardContextual"/>
        </w:rPr>
        <w:t>“Hiç kimse, işlendiği zaman ulusal veya uluslararası hukuka göre suç oluşturmayan bir eylem veya ihmalden dolayı suçlu bulunamaz. Aynı biçimde, suçun işlendiği sırada uygulanabilir olan cezadan daha ağır bir ceza verilemez.”</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hukukun üstünlüğünün temel bir unsuru olan Sözleşme'nin 7. maddesinde yer alan güvence keyfi kovuşturma, mahkûmiyet ve cezalandırmaya karşı etkili güvenceler sağlayacak şekilde yorumlanmalı ve uygulanmalıdır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237).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7. maddesi, ceza hukukunun geriye dönük olarak sanığın aleyhine uygulanmasını yasaklamakla sınırlı değildir. Aynı zamanda, daha genel olarak, sadece yasanın bir suçu tanımlayabileceği ve bir ceza öngörebileceği ilkesini  ve ceza hukukunun, örneğin kıyas yoluyla, bir sanığın aleyhine olacak şekilde geniş yorumlanmaması gerektiği ilkesini de içerir. Bu ilkelerden, bir suçun kanunda açıkça tanımlanmış olması gerektiği sonucu çıkmaktadır. Bu gereklilik, bireyin ilgili hükmün lafzından ve gerekirse mahkemelerin yorumundan, hangi eylem ve ihmallerin kendisini cezai olarak sorumlu kılacağını bilebildiği durumlarda yerine getirilmiş olur. 7. madde, özellikle erişilebilirlik ve öngörülebilirlik gibi niteliksel gereklilikleri düzenlemektedir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238).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terör örgütü kurmak suçundan Fetullah Gülen’in daha önce beraat etmesi, 2017 yılından önce kesinleşen bir mahkeme kararı olmaması karşısında, bir örgüt üyeliği suçundan mahkumiyet için “bilme ve isteme” manevi unsurunun özel olarak incelenmesine dikkat çekmiştir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253).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ilgili ulusal mahkeme kararlarında, ByLock kullanımının, başvuranın FETÖ/PDY'nin cebir ve şiddet kullanarak ulaşmayı amaçladığı terörist amaçlar taşıdığını bildiği sonucuna doğrudan nasıl yol açtığının anlamlı bir açıklama ile ortaya </w:t>
      </w:r>
      <w:r>
        <w:rPr>
          <w:rFonts w:hint="default" w:ascii="Times New Roman Regular" w:hAnsi="Times New Roman Regular" w:cs="Times New Roman Regular"/>
          <w:iCs/>
          <w:sz w:val="24"/>
          <w:szCs w:val="24"/>
          <w:lang w:val="tr"/>
        </w:rPr>
        <w:t>konulmadığını</w:t>
      </w:r>
      <w:r>
        <w:rPr>
          <w:rFonts w:hint="default" w:ascii="Times New Roman Regular" w:hAnsi="Times New Roman Regular" w:eastAsia="Calibri" w:cs="Times New Roman Regular"/>
          <w:iCs/>
          <w:kern w:val="2"/>
          <w:sz w:val="24"/>
          <w:szCs w:val="24"/>
          <w:lang w:val="tr"/>
          <w14:ligatures w14:val="standardContextual"/>
        </w:rPr>
        <w:t>, özel kastın saptanmadığını ve hiyerarşisinin bir parçası olarak faaliyetlerine katılımın veya ulusal hukukun gerektirdiği şekilde örgütün fiili varlığına veya güçlenmesine başka herhangi bir somut maddi veya zihinsel katkıda bulunulduğunun izah edilmediğini saptamıştır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263).</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yerel mahkemeler ve Hükümetin, ByLock kullanım tespitini mahkumiyet için tek başına yeterli olarak gördüğünü tespit etmiş ve bu durumun doğru </w:t>
      </w:r>
      <w:r>
        <w:rPr>
          <w:rFonts w:hint="default" w:ascii="Times New Roman Regular" w:hAnsi="Times New Roman Regular" w:cs="Times New Roman Regular"/>
          <w:iCs/>
          <w:sz w:val="24"/>
          <w:szCs w:val="24"/>
          <w:lang w:val="tr"/>
        </w:rPr>
        <w:t xml:space="preserve">olmadığını </w:t>
      </w:r>
      <w:r>
        <w:rPr>
          <w:rFonts w:hint="default" w:ascii="Times New Roman Regular" w:hAnsi="Times New Roman Regular" w:eastAsia="Calibri" w:cs="Times New Roman Regular"/>
          <w:iCs/>
          <w:kern w:val="2"/>
          <w:sz w:val="24"/>
          <w:szCs w:val="24"/>
          <w:lang w:val="tr"/>
          <w14:ligatures w14:val="standardContextual"/>
        </w:rPr>
        <w:t>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257).</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bu durumun silahlı terör örgütü üyeliği için aranan süreklilik, çeşitlilik ve yoğunluğa dayalı organik bir bağın kanıtlanması, </w:t>
      </w:r>
      <w:r>
        <w:rPr>
          <w:rFonts w:hint="default" w:ascii="Times New Roman Regular" w:hAnsi="Times New Roman Regular" w:eastAsia="Calibri" w:cs="Times New Roman Regular"/>
          <w:b/>
          <w:bCs/>
          <w:iCs/>
          <w:kern w:val="2"/>
          <w:sz w:val="24"/>
          <w:szCs w:val="24"/>
          <w:lang w:val="tr"/>
          <w14:ligatures w14:val="standardContextual"/>
        </w:rPr>
        <w:t>manevi unsurun saptanması unsurları ile uyuşmadığını</w:t>
      </w:r>
      <w:r>
        <w:rPr>
          <w:rFonts w:hint="default" w:ascii="Times New Roman Regular" w:hAnsi="Times New Roman Regular" w:eastAsia="Calibri" w:cs="Times New Roman Regular"/>
          <w:iCs/>
          <w:kern w:val="2"/>
          <w:sz w:val="24"/>
          <w:szCs w:val="24"/>
          <w:lang w:val="tr"/>
          <w14:ligatures w14:val="standardContextual"/>
        </w:rPr>
        <w:t xml:space="preserve"> belirlemiştir. </w:t>
      </w:r>
      <w:r>
        <w:rPr>
          <w:rFonts w:hint="default" w:ascii="Times New Roman Regular" w:hAnsi="Times New Roman Regular" w:eastAsia="Calibri" w:cs="Times New Roman Regular"/>
          <w:b/>
          <w:bCs/>
          <w:iCs/>
          <w:kern w:val="2"/>
          <w:sz w:val="24"/>
          <w:szCs w:val="24"/>
          <w:lang w:val="tr"/>
          <w14:ligatures w14:val="standardContextual"/>
        </w:rPr>
        <w:t xml:space="preserve">AİHM, silahlı terör örgütü üyeliğinin tüm gerekliliklerinin (gerekli kasıt dahil) yerine getirildiğini tespit etmeden, bu </w:t>
      </w:r>
      <w:r>
        <w:rPr>
          <w:rFonts w:hint="default" w:ascii="Times New Roman Regular" w:hAnsi="Times New Roman Regular" w:cs="Times New Roman Regular"/>
          <w:iCs/>
          <w:sz w:val="24"/>
          <w:szCs w:val="24"/>
          <w:lang w:val="tr"/>
        </w:rPr>
        <w:t xml:space="preserve">uygulamanın </w:t>
      </w:r>
      <w:r>
        <w:rPr>
          <w:rFonts w:hint="default" w:ascii="Times New Roman Regular" w:hAnsi="Times New Roman Regular" w:eastAsia="Calibri" w:cs="Times New Roman Regular"/>
          <w:b/>
          <w:bCs/>
          <w:iCs/>
          <w:kern w:val="2"/>
          <w:sz w:val="24"/>
          <w:szCs w:val="24"/>
          <w:lang w:val="tr"/>
          <w14:ligatures w14:val="standardContextual"/>
        </w:rPr>
        <w:t>kullanıcısına etkili bir şekilde cezai sorumluluk yüklemenin Sözleşme'nin 7. Maddesine uymadığını, bu durumun, kişisel sorumluluk unsurunun tesis edilebileceği manevi unsur olmaksızın cezalandırılmama hakkıyla da bağdaşmadığını vurgulamıştır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264).</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w:t>
      </w:r>
      <w:r>
        <w:rPr>
          <w:rFonts w:hint="default" w:ascii="Times New Roman Regular" w:hAnsi="Times New Roman Regular" w:eastAsia="Calibri" w:cs="Times New Roman Regular"/>
          <w:b/>
          <w:bCs/>
          <w:iCs/>
          <w:kern w:val="2"/>
          <w:sz w:val="24"/>
          <w:szCs w:val="24"/>
          <w:lang w:val="tr"/>
          <w14:ligatures w14:val="standardContextual"/>
        </w:rPr>
        <w:t>ByLock uygulaması hakkında, belirli bir sanığa ilişkin somut içerik veya diğer ilgili bilgiler olmaksızın, tüm kullanıcı tabanı için belirleyici sonuçlar çıkarmak sadece öngörülemez değil, aynı zamanda yasallık ilkesine ve bireysel cezai sorumluluğa da aykırıdır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265).</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başvuran gibi ByLock kullanıcısı olduğu iddia edilen tüm kişilerin, yerel mahkemeler tarafından daha önce yorumlandığı ve uygulandığı şekliyle iç hukuk anlamında geçerli bir şekilde "silahlı terör örgütü üyesi" olarak değerlendirilebilecek kişiler olduğunun nasıl bu kadar kesin ve otomatik bir şekilde tespit edilebileceğini anlamakta </w:t>
      </w:r>
      <w:r>
        <w:rPr>
          <w:rFonts w:hint="default" w:ascii="Times New Roman Regular" w:hAnsi="Times New Roman Regular" w:cs="Times New Roman Regular"/>
          <w:iCs/>
          <w:sz w:val="24"/>
          <w:szCs w:val="24"/>
          <w:lang w:val="tr"/>
        </w:rPr>
        <w:t>zorlandığını</w:t>
      </w:r>
      <w:r>
        <w:rPr>
          <w:rFonts w:hint="default" w:ascii="Times New Roman Regular" w:hAnsi="Times New Roman Regular" w:eastAsia="Calibri" w:cs="Times New Roman Regular"/>
          <w:iCs/>
          <w:kern w:val="2"/>
          <w:sz w:val="24"/>
          <w:szCs w:val="24"/>
          <w:lang w:val="tr"/>
          <w14:ligatures w14:val="standardContextual"/>
        </w:rPr>
        <w:t xml:space="preserve">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266).</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ByLock kullanımının teknik olarak isnat edilen suçun fiili unsurunun bir parçası olmamasına rağmen, yerel mahkemelerin yorumunun uygulamada sadece ByLock kullanımını bilerek ve isteyerek silahlı bir terör örgütüne üye olmakla eşdeğer tutma etkisi yarattığına dikkat çekmiştir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267).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 xml:space="preserve">ByLock kullanımının adeta suçun (TCK 314/2) unsuru haline getirilerek, usulünce bireyselleştirme yapılmadan verilen mahkumiyetin iç hukukun gerekliliklerine ve 7. madde kapsamındaki korumanın özünde yer alan yasallık ve öngörülebilirlik ilkelerine aykırı </w:t>
      </w:r>
      <w:r>
        <w:rPr>
          <w:rFonts w:hint="default" w:ascii="Times New Roman Regular" w:hAnsi="Times New Roman Regular" w:cs="Times New Roman Regular"/>
          <w:b/>
          <w:bCs/>
          <w:iCs/>
          <w:sz w:val="24"/>
          <w:szCs w:val="24"/>
          <w:lang w:val="tr"/>
        </w:rPr>
        <w:t>olduğuna</w:t>
      </w:r>
      <w:r>
        <w:rPr>
          <w:rFonts w:hint="default" w:ascii="Times New Roman Regular" w:hAnsi="Times New Roman Regular" w:eastAsia="Calibri" w:cs="Times New Roman Regular"/>
          <w:b/>
          <w:bCs/>
          <w:iCs/>
          <w:kern w:val="2"/>
          <w:sz w:val="24"/>
          <w:szCs w:val="24"/>
          <w:lang w:val="tr"/>
          <w14:ligatures w14:val="standardContextual"/>
        </w:rPr>
        <w:t xml:space="preserve"> karar vermiştir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267).</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ByLock kullanımına ilişkin olgusal bulgunun tek başına silahlı terör örgütüne üyelik suçunun kurucu unsurlarını oluşturduğunun düşünülmesini hak ihlali olarak </w:t>
      </w:r>
      <w:r>
        <w:rPr>
          <w:rFonts w:hint="default" w:ascii="Times New Roman Regular" w:hAnsi="Times New Roman Regular" w:cs="Times New Roman Regular"/>
          <w:iCs/>
          <w:sz w:val="24"/>
          <w:szCs w:val="24"/>
          <w:lang w:val="tr"/>
        </w:rPr>
        <w:t>değerlendirmiştir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ayrıca, yerel mahkeme kararlarından ve Hükümet'in görüşlerinden, başvurana atfedilen diğer eylemlerin (Bank Asya’da hesap sahibi olması, dernek üyeliği) sonuç üzerinde çok sınırlı bir etkisi olduğunu, asıl mahkumiyet nedeninin ByLock olduğu </w:t>
      </w:r>
      <w:r>
        <w:rPr>
          <w:rFonts w:hint="default" w:ascii="Times New Roman Regular" w:hAnsi="Times New Roman Regular" w:cs="Times New Roman Regular"/>
          <w:b/>
          <w:bCs/>
          <w:iCs/>
          <w:sz w:val="24"/>
          <w:szCs w:val="24"/>
          <w:lang w:val="tr"/>
        </w:rPr>
        <w:t>değerlendirmesine</w:t>
      </w:r>
      <w:r>
        <w:rPr>
          <w:rFonts w:hint="default" w:ascii="Times New Roman Regular" w:hAnsi="Times New Roman Regular" w:eastAsia="Calibri" w:cs="Times New Roman Regular"/>
          <w:b/>
          <w:bCs/>
          <w:iCs/>
          <w:kern w:val="2"/>
          <w:sz w:val="24"/>
          <w:szCs w:val="24"/>
          <w:lang w:val="tr"/>
          <w14:ligatures w14:val="standardContextual"/>
        </w:rPr>
        <w:t xml:space="preserve"> dikkat çekmiştir (</w:t>
      </w:r>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268). Aslında AİHM, bu yaklaşımı ile diğer delillerin zaten bir suç konusu oluşturmayacağına işaret etmiştir ki nitekim daha önce Taner Kılıç, Alparslan Altan, Mehmet Altan vb birçok başvuruda delil diye sunulan çocuğunu okula gönderme, gazete aboneliği, köşe yazısı yazma, medyada program yapma, sosyal çevre vb hususlarda da ihlal tespiti yapmış ve Yalçınkaya dosyasında da bu anılan kararlara göndermede bulunmuştur.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Ceza Kanunu'nun 314/2. maddesi ve Terörle Mücadele Kanunu hükümlerinin nasıl uygulanması gerektiğine ilişkin bu öngörülemeyen ve geniş yorumun etkisinin, yalnızca ByLock kullanımına dayalı neredeyse otomatik bir suç karinesi oluşturmak ve başvuranın kendisini suçlamalardan aklamasını neredeyse imkansız hale getirmek sonucunu doğurduğunu </w:t>
      </w:r>
      <w:r>
        <w:rPr>
          <w:rFonts w:hint="default" w:ascii="Times New Roman Regular" w:hAnsi="Times New Roman Regular" w:cs="Times New Roman Regular"/>
          <w:b/>
          <w:bCs/>
          <w:iCs/>
          <w:sz w:val="24"/>
          <w:szCs w:val="24"/>
          <w:lang w:val="tr"/>
        </w:rPr>
        <w:t>söylemiştir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w:t>
      </w:r>
      <w:r>
        <w:rPr>
          <w:rFonts w:hint="default" w:ascii="Times New Roman Regular" w:hAnsi="Times New Roman Regular" w:eastAsia="Calibri" w:cs="Times New Roman Regular"/>
          <w:iCs/>
          <w:kern w:val="2"/>
          <w:sz w:val="24"/>
          <w:szCs w:val="24"/>
          <w:lang w:val="tr"/>
          <w14:ligatures w14:val="standardContextual"/>
        </w:rPr>
        <w:t>§ 242,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ulusal mahkemeler tarafından, Ceza Kanunu ve Terörle Mücadele Kanunu'nun ilgili hükümlerinin geniş yorumlandığını, bu nedenle ByLock kullanımının silahlı terör örgütü üyeliği anlamına geldiğinin tespit edildiğini, başvuranın özel durumunda iç hukuktaki suçun yasal tanımı kapsamında gerekli olan bilgi ve kastın varlığının tespit edilmediğini, sadece ByLock kullanımına etkili bir şekilde objektif sorumluluk yüklendiğini belirlemiştir. </w:t>
      </w:r>
      <w:r>
        <w:rPr>
          <w:rFonts w:hint="default" w:ascii="Times New Roman Regular" w:hAnsi="Times New Roman Regular" w:eastAsia="Calibri" w:cs="Times New Roman Regular"/>
          <w:iCs/>
          <w:kern w:val="2"/>
          <w:sz w:val="24"/>
          <w:szCs w:val="24"/>
          <w:lang w:val="tr"/>
          <w14:ligatures w14:val="standardContextual"/>
        </w:rPr>
        <w:t>Mahkeme, ulusal mahkemeler tarafından kanunun bu şekilde geniş ve öngörülemez bir şekilde yorumlanmasının, suçun kurucu unsurlarını - özellikle de zihinsel unsurları - bir kenara bırakma ve bu suçu katı bir sorumluluk suçuna benzetme ve böylece iç hukukta açıkça belirtilen gerekliliklerden ayrılma etkisi yarattığı görüşündedir. Dolayısıyla suçun kapsamı, 7. maddenin amaç ve hedefine aykırı olarak, öngörülemeyen bir şekilde başvuranın aleyhine genişletilmiştir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271).</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Sözleşme'nin 7. maddesinin ihlal edildiği sonucuna </w:t>
      </w:r>
      <w:r>
        <w:rPr>
          <w:rFonts w:hint="default" w:ascii="Times New Roman Regular" w:hAnsi="Times New Roman Regular" w:cs="Times New Roman Regular"/>
          <w:iCs/>
          <w:sz w:val="24"/>
          <w:szCs w:val="24"/>
          <w:lang w:val="tr"/>
        </w:rPr>
        <w:t>varmıştır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272).</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6.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6 § 1 maddesinin ilgili kısımları aşağıdaki gibidir:</w:t>
      </w:r>
    </w:p>
    <w:p>
      <w:pPr>
        <w:pStyle w:val="7"/>
        <w:tabs>
          <w:tab w:val="left" w:pos="3870"/>
        </w:tabs>
        <w:spacing w:line="240" w:lineRule="auto"/>
        <w:ind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kendisine yöneltilen herhangi bir suç isnadının ... karara bağlanmasında, ... yasayla kurulmuş bir mahkeme tarafından ... adil bir ... duruşma yapılmasını isteme hakkına sahiptir. ..." (§ 274).</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6. madde kapsamındaki mevcut incelemesinin amaçları doğrultusunda, itiraz edilen delilin (ByLock) gerçekten iç hukuk açısından yasal olarak elde edilip edilmediğini ve kabul edilebilir olup olmadığını ya da ulusal mahkemelerin ilgili delili değerlendirirken herhangi bir maddi hata yapıp yapmadığını belirlemenin gerekli olmadığını, görevinin, daha ziyade yargılamanın bir bütün olarak adilliğini değerlendirmek olduğunu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310).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AİHM</w:t>
      </w:r>
      <w:r>
        <w:rPr>
          <w:rFonts w:hint="default" w:ascii="Times New Roman Regular" w:hAnsi="Times New Roman Regular" w:eastAsia="Calibri" w:cs="Times New Roman Regular"/>
          <w:b/>
          <w:bCs/>
          <w:iCs/>
          <w:kern w:val="2"/>
          <w:sz w:val="24"/>
          <w:szCs w:val="24"/>
          <w:lang w:val="tr"/>
          <w14:ligatures w14:val="standardContextual"/>
        </w:rPr>
        <w:t>, dava dosyasındaki bilgilerden, ulusal mahkemeler ve Hükümet tarafından MİT'in faaliyetlerinin yasal dayanağı olarak ileri sürülen İstihbarat Hizmetleri Kanunu'nun 4 (1) ve 6 (1) maddelerinin, bağımsız yetkilendirme veya gözetim de dahil olmak üzere, elektronik delillerin toplanmasıyla ilgili olarak CMK'nın 134. maddesinde belirtilenlere benzer usuli güvenceler öngörmediğine eleştiri getirmiştir.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317).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dava dosyasındaki hiçbir şey, Ankara 4. Sulh Ceza Mahkemesi'nin ByLock verilerinin CMK'nın 134. maddesi uyarınca incelenmesine yönelik müteakip kararının, MİT'in veri toplama faaliyetinin </w:t>
      </w:r>
      <w:r>
        <w:rPr>
          <w:rFonts w:hint="default" w:ascii="Times New Roman Regular" w:hAnsi="Times New Roman Regular" w:eastAsia="Calibri" w:cs="Times New Roman Regular"/>
          <w:i/>
          <w:iCs/>
          <w:kern w:val="2"/>
          <w:sz w:val="24"/>
          <w:szCs w:val="24"/>
          <w:lang w:val="tr"/>
          <w14:ligatures w14:val="standardContextual"/>
        </w:rPr>
        <w:t xml:space="preserve">post factum </w:t>
      </w:r>
      <w:r>
        <w:rPr>
          <w:rFonts w:hint="default" w:ascii="Times New Roman Regular" w:hAnsi="Times New Roman Regular" w:eastAsia="Calibri" w:cs="Times New Roman Regular"/>
          <w:iCs/>
          <w:kern w:val="2"/>
          <w:sz w:val="24"/>
          <w:szCs w:val="24"/>
          <w:lang w:val="tr"/>
          <w14:ligatures w14:val="standardContextual"/>
        </w:rPr>
        <w:t xml:space="preserve">yargısal denetimini içerdiğini göstermemektedir. </w:t>
      </w:r>
      <w:r>
        <w:rPr>
          <w:rFonts w:hint="default" w:ascii="Times New Roman Regular" w:hAnsi="Times New Roman Regular" w:eastAsia="Calibri" w:cs="Times New Roman Regular"/>
          <w:b/>
          <w:bCs/>
          <w:iCs/>
          <w:kern w:val="2"/>
          <w:sz w:val="24"/>
          <w:szCs w:val="24"/>
          <w:lang w:val="tr"/>
          <w14:ligatures w14:val="standardContextual"/>
        </w:rPr>
        <w:t>Bu temelde ve MİT'in ilgili verileri adli makamlara sunmadan önce aylarca tuttuğu göz önüne alındığında, Mahkeme, başvuranın ByLock verilerinin güvenilirliğine ilişkin şüphelerinin soyut veya temelsiz olarak kolayca göz ardı edilebileceği konusunda Hükümet ile aynı fikirde değildir.</w:t>
      </w:r>
      <w:r>
        <w:rPr>
          <w:rFonts w:hint="default" w:ascii="Times New Roman Regular" w:hAnsi="Times New Roman Regular" w:eastAsia="Calibri" w:cs="Times New Roman Regular"/>
          <w:iCs/>
          <w:kern w:val="2"/>
          <w:sz w:val="24"/>
          <w:szCs w:val="24"/>
          <w:lang w:val="tr"/>
          <w14:ligatures w14:val="standardContextual"/>
        </w:rPr>
        <w:t xml:space="preserve"> Mahkeme, MİT veya adli makamlar tarafından bu şüpheleri gidermek için herhangi bir önlem alınıp alınmadığını incelemeden karar vermiştir </w:t>
      </w:r>
      <w:bookmarkStart w:id="0" w:name="_Hlk147072324"/>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317).</w:t>
      </w:r>
      <w:bookmarkEnd w:id="0"/>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AİHM’in ByLock verilerinin denetimsiz bir biçimde aylarca MİT’te tutulmasını güvenli bir kanıt olarak görmediği bu tespitler ile ortaya konulmuştur.</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w:t>
      </w:r>
      <w:r>
        <w:rPr>
          <w:rFonts w:hint="default" w:ascii="Times New Roman Regular" w:hAnsi="Times New Roman Regular" w:cs="Times New Roman Regular"/>
          <w:b/>
          <w:bCs/>
          <w:iCs/>
          <w:sz w:val="24"/>
          <w:szCs w:val="24"/>
          <w:lang w:val="tr"/>
        </w:rPr>
        <w:t>ByLock</w:t>
      </w:r>
      <w:r>
        <w:rPr>
          <w:rFonts w:hint="default" w:ascii="Times New Roman Regular" w:hAnsi="Times New Roman Regular" w:eastAsia="Calibri" w:cs="Times New Roman Regular"/>
          <w:b/>
          <w:bCs/>
          <w:iCs/>
          <w:kern w:val="2"/>
          <w:sz w:val="24"/>
          <w:szCs w:val="24"/>
          <w:lang w:val="tr"/>
          <w14:ligatures w14:val="standardContextual"/>
        </w:rPr>
        <w:t xml:space="preserve"> verilerinin MİT tarafından alındığı koşulların, adli makamlara teslim edilene kadar bütünlüklerini sağlamaya yönelik özel usuli güvencelerin yokluğunda </w:t>
      </w:r>
      <w:r>
        <w:rPr>
          <w:rFonts w:hint="default" w:ascii="Times New Roman Regular" w:hAnsi="Times New Roman Regular" w:eastAsia="Calibri" w:cs="Times New Roman Regular"/>
          <w:b/>
          <w:bCs/>
          <w:i/>
          <w:kern w:val="2"/>
          <w:sz w:val="24"/>
          <w:szCs w:val="24"/>
          <w:lang w:val="tr"/>
          <w14:ligatures w14:val="standardContextual"/>
        </w:rPr>
        <w:t>"kaliteleri"</w:t>
      </w:r>
      <w:r>
        <w:rPr>
          <w:rFonts w:hint="default" w:ascii="Times New Roman Regular" w:hAnsi="Times New Roman Regular" w:eastAsia="Calibri" w:cs="Times New Roman Regular"/>
          <w:b/>
          <w:bCs/>
          <w:iCs/>
          <w:kern w:val="2"/>
          <w:sz w:val="24"/>
          <w:szCs w:val="24"/>
          <w:lang w:val="tr"/>
          <w14:ligatures w14:val="standardContextual"/>
        </w:rPr>
        <w:t xml:space="preserve"> konusunda </w:t>
      </w:r>
      <w:r>
        <w:rPr>
          <w:rFonts w:hint="default" w:ascii="Times New Roman Regular" w:hAnsi="Times New Roman Regular" w:eastAsia="Calibri" w:cs="Times New Roman Regular"/>
          <w:b/>
          <w:bCs/>
          <w:i/>
          <w:iCs/>
          <w:kern w:val="2"/>
          <w:sz w:val="24"/>
          <w:szCs w:val="24"/>
          <w:lang w:val="tr"/>
          <w14:ligatures w14:val="standardContextual"/>
        </w:rPr>
        <w:t xml:space="preserve">ilk bakışta </w:t>
      </w:r>
      <w:r>
        <w:rPr>
          <w:rFonts w:hint="default" w:ascii="Times New Roman Regular" w:hAnsi="Times New Roman Regular" w:eastAsia="Calibri" w:cs="Times New Roman Regular"/>
          <w:b/>
          <w:bCs/>
          <w:iCs/>
          <w:kern w:val="2"/>
          <w:sz w:val="24"/>
          <w:szCs w:val="24"/>
          <w:lang w:val="tr"/>
          <w14:ligatures w14:val="standardContextual"/>
        </w:rPr>
        <w:t xml:space="preserve">şüphe uyandırdığı kabul etmekle beraber, bu verilerin doğruluğunu sorgulamak için yeterli unsurlara sahip olmadığını belirtmiştir (§ 323). Bu anlatım ile AİHM, hükümetin “bu deliller ve içerikleri doğrudur” tezini oluşan şüphe nedeniyle kabul etmeyeceğini vurgulamış ve hatta </w:t>
      </w:r>
      <w:r>
        <w:rPr>
          <w:rFonts w:hint="default" w:ascii="Times New Roman Regular" w:hAnsi="Times New Roman Regular" w:eastAsia="Calibri" w:cs="Times New Roman Regular"/>
          <w:b/>
          <w:bCs/>
          <w:i/>
          <w:kern w:val="2"/>
          <w:sz w:val="24"/>
          <w:szCs w:val="24"/>
          <w:lang w:val="tr"/>
          <w14:ligatures w14:val="standardContextual"/>
        </w:rPr>
        <w:t>“ilk bakışta şüphe uyandırdığı”</w:t>
      </w:r>
      <w:r>
        <w:rPr>
          <w:rFonts w:hint="default" w:ascii="Times New Roman Regular" w:hAnsi="Times New Roman Regular" w:eastAsia="Calibri" w:cs="Times New Roman Regular"/>
          <w:b/>
          <w:bCs/>
          <w:iCs/>
          <w:kern w:val="2"/>
          <w:sz w:val="24"/>
          <w:szCs w:val="24"/>
          <w:lang w:val="tr"/>
          <w14:ligatures w14:val="standardContextual"/>
        </w:rPr>
        <w:t xml:space="preserve"> tespiti ile ByLock delilini şaibeli bulmuştur.</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Hükümet'in ByLock ile ilgili verilerin başvurana verilmemesini haklı çıkarmak için neden göstermediğini, başvurana ulusal mahkemeler tarafından </w:t>
      </w:r>
      <w:r>
        <w:rPr>
          <w:rFonts w:hint="default" w:ascii="Times New Roman Regular" w:hAnsi="Times New Roman Regular" w:eastAsia="Calibri" w:cs="Times New Roman Regular"/>
          <w:b/>
          <w:bCs/>
          <w:iCs/>
          <w:kern w:val="2"/>
          <w:sz w:val="24"/>
          <w:szCs w:val="24"/>
          <w:lang w:val="tr"/>
          <w14:ligatures w14:val="standardContextual"/>
        </w:rPr>
        <w:t>ham verilerin - özellikle de kendisini ilgilendirdiği ölçüde - neden ve kimin kararıyla kendisinden saklandığına</w:t>
      </w:r>
      <w:r>
        <w:rPr>
          <w:rFonts w:hint="default" w:ascii="Times New Roman Regular" w:hAnsi="Times New Roman Regular" w:eastAsia="Calibri" w:cs="Times New Roman Regular"/>
          <w:iCs/>
          <w:kern w:val="2"/>
          <w:sz w:val="24"/>
          <w:szCs w:val="24"/>
          <w:lang w:val="tr"/>
          <w14:ligatures w14:val="standardContextual"/>
        </w:rPr>
        <w:t xml:space="preserve"> dair hiçbir açıklama yapılmadığını, başvuranın verilerin dava dosyasına kabul edilmesi talebinin basitçe cevapsız kaldığını, </w:t>
      </w:r>
      <w:r>
        <w:rPr>
          <w:rFonts w:hint="default" w:ascii="Times New Roman Regular" w:hAnsi="Times New Roman Regular" w:eastAsia="Calibri" w:cs="Times New Roman Regular"/>
          <w:b/>
          <w:bCs/>
          <w:iCs/>
          <w:kern w:val="2"/>
          <w:sz w:val="24"/>
          <w:szCs w:val="24"/>
          <w:lang w:val="tr"/>
          <w14:ligatures w14:val="standardContextual"/>
        </w:rPr>
        <w:t xml:space="preserve">ByLock kullanıcı listelerinin nasıl oluşturulduğu ve bireysel ByLock kullanıcılarına ilişkin ham verilerin neden izole edilemediği </w:t>
      </w:r>
      <w:r>
        <w:rPr>
          <w:rFonts w:hint="default" w:ascii="Times New Roman Regular" w:hAnsi="Times New Roman Regular" w:eastAsia="Calibri" w:cs="Times New Roman Regular"/>
          <w:iCs/>
          <w:kern w:val="2"/>
          <w:sz w:val="24"/>
          <w:szCs w:val="24"/>
          <w:lang w:val="tr"/>
          <w14:ligatures w14:val="standardContextual"/>
        </w:rPr>
        <w:t>ve ilgili kullanıcılarla paylaşılamadığı konusunda daha fazla bilgi sağlayan tamamlayıcı analiz raporunun aleyhindeki ceza yargılamaları sırasında başvurana sunulmadığını not etmiştir. Mahkemeye göre başvuran, bu gerekçelerin geçerliliğine itiraz etmek ya da çatışan menfaatler arasında adil bir denge kurmak ve savunma haklarını güvence altına almak için her türlü çabanın gösterildiğine itiraz etmek gibi herhangi bir karşı argüman sunma fırsatından mahrum bırakılmıştır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331).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başvuranın ham verilerin içeriğinin ve bütünlüğünün doğrulanması için bağımsız bir incelemeye sunulması talebinin de ulusal mahkemeler tarafından dikkate alınmadığını kaydetmiştir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332).</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w:t>
      </w:r>
      <w:r>
        <w:rPr>
          <w:rFonts w:hint="default" w:ascii="Times New Roman Regular" w:hAnsi="Times New Roman Regular" w:eastAsia="Calibri" w:cs="Times New Roman Regular"/>
          <w:b/>
          <w:bCs/>
          <w:iCs/>
          <w:kern w:val="2"/>
          <w:sz w:val="24"/>
          <w:szCs w:val="24"/>
          <w:lang w:val="tr"/>
          <w14:ligatures w14:val="standardContextual"/>
        </w:rPr>
        <w:t xml:space="preserve"> ByLock verilerinin MİT tarafından toplanması ile sulh ceza mahkemesinin bunların incelenmesine yönelik müteakip kararı arasında, ByLock verilerinin zaten işlenmiş olduğu ve yalnızca istihbarat amacıyla değil, aynı zamanda başvuran da dahil olmak üzere şüphelilerin soruşturulması ve tutuklanması için suç delili olarak kullanıldığı gerçeğini hesaba katmamışlardır.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MİT'in ceza yargılamalarında delil olarak kullanılmak üzere veri toplama yetkisinin bulunmadığı ve 9 Aralık 2016 tarihinde verilen mahkeme kararının bu şekilde toplanan delilleri geriye dönük olarak </w:t>
      </w:r>
      <w:r>
        <w:rPr>
          <w:rFonts w:hint="default" w:ascii="Times New Roman Regular" w:hAnsi="Times New Roman Regular" w:eastAsia="Calibri" w:cs="Times New Roman Regular"/>
          <w:b/>
          <w:bCs/>
          <w:i/>
          <w:kern w:val="2"/>
          <w:sz w:val="24"/>
          <w:szCs w:val="24"/>
          <w:lang w:val="tr"/>
          <w14:ligatures w14:val="standardContextual"/>
        </w:rPr>
        <w:t>"hukuka uygun"</w:t>
      </w:r>
      <w:r>
        <w:rPr>
          <w:rFonts w:hint="default" w:ascii="Times New Roman Regular" w:hAnsi="Times New Roman Regular" w:eastAsia="Calibri" w:cs="Times New Roman Regular"/>
          <w:b/>
          <w:bCs/>
          <w:iCs/>
          <w:kern w:val="2"/>
          <w:sz w:val="24"/>
          <w:szCs w:val="24"/>
          <w:lang w:val="tr"/>
          <w14:ligatures w14:val="standardContextual"/>
        </w:rPr>
        <w:t xml:space="preserve"> ve güvenilir kılamayacağı yönündeki iddiaları ne Ankara Bölge Adliye Mahkemesi ne de Yargıtay tarafından incelenmiştir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334).</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Mahkeme, </w:t>
      </w:r>
      <w:r>
        <w:rPr>
          <w:rFonts w:hint="default" w:ascii="Times New Roman Regular" w:hAnsi="Times New Roman Regular" w:cs="Times New Roman Regular"/>
          <w:b/>
          <w:bCs/>
          <w:iCs/>
          <w:sz w:val="24"/>
          <w:szCs w:val="24"/>
          <w:lang w:val="tr"/>
        </w:rPr>
        <w:t>başvuranın</w:t>
      </w:r>
      <w:r>
        <w:rPr>
          <w:rFonts w:hint="default" w:ascii="Times New Roman Regular" w:hAnsi="Times New Roman Regular" w:eastAsia="Calibri" w:cs="Times New Roman Regular"/>
          <w:b/>
          <w:bCs/>
          <w:iCs/>
          <w:kern w:val="2"/>
          <w:sz w:val="24"/>
          <w:szCs w:val="24"/>
          <w:lang w:val="tr"/>
          <w14:ligatures w14:val="standardContextual"/>
        </w:rPr>
        <w:t xml:space="preserve"> iç hukuk yargılamaları sırasında, ByLock uygulamasının 2016 yılının başlarına kadar - yani yaklaşık iki yıl boyunca - herhangi bir kontrol mekanizması olmaksızın halka açık uygulama mağazalarından veya sitelerinden indirilebildiğine dikkat çektiğini ve bunun münhasırlık argümanını zayıflattığını ve iddia edildiği gibi </w:t>
      </w:r>
      <w:r>
        <w:rPr>
          <w:rFonts w:hint="default" w:ascii="Times New Roman Regular" w:hAnsi="Times New Roman Regular" w:eastAsia="Calibri" w:cs="Times New Roman Regular"/>
          <w:b/>
          <w:bCs/>
          <w:i/>
          <w:kern w:val="2"/>
          <w:sz w:val="24"/>
          <w:szCs w:val="24"/>
          <w:lang w:val="tr"/>
          <w14:ligatures w14:val="standardContextual"/>
        </w:rPr>
        <w:t>"örgütsel amaçlar"</w:t>
      </w:r>
      <w:r>
        <w:rPr>
          <w:rFonts w:hint="default" w:ascii="Times New Roman Regular" w:hAnsi="Times New Roman Regular" w:eastAsia="Calibri" w:cs="Times New Roman Regular"/>
          <w:b/>
          <w:bCs/>
          <w:iCs/>
          <w:kern w:val="2"/>
          <w:sz w:val="24"/>
          <w:szCs w:val="24"/>
          <w:lang w:val="tr"/>
          <w14:ligatures w14:val="standardContextual"/>
        </w:rPr>
        <w:t xml:space="preserve"> için kullanılıp kullanılmadığını doğrulamak için iddia edilen her kullanıcı için bu uygulama üzerinden gerçekleştirilen belirli faaliyetlerin incelenmesi gerektirdiğini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338).</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ByLock kullanımının yalnızca belirli bir grupla sınırlandıracak nitelikte olmadığı, aslında yaygın olarak kullanılan birçok uygulamada bulunduğu, başvuranın ulusal mahkemeler önünde de dile getirdiği bir nokta olduğunu dosyadaki raporlarla kabul etmiştir (§ 339). AİHM’in bu tespiti, ByLock’un münhasıran Gülen Cemaati üyeleri tarafından kullanıldığı yönündeki Hükümet tezini ve yargı uygulamasını çürütmüştür.</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Mahkeme</w:t>
      </w:r>
      <w:r>
        <w:rPr>
          <w:rFonts w:hint="default" w:ascii="Times New Roman Regular" w:hAnsi="Times New Roman Regular" w:eastAsia="Calibri" w:cs="Times New Roman Regular"/>
          <w:iCs/>
          <w:kern w:val="2"/>
          <w:sz w:val="24"/>
          <w:szCs w:val="24"/>
          <w:lang w:val="tr"/>
          <w14:ligatures w14:val="standardContextual"/>
        </w:rPr>
        <w:t xml:space="preserve">, dönüm noktası niteliğindeki kararlarında Yargıtay da dâhil olmak üzere ulusal mahkemelerin, </w:t>
      </w:r>
      <w:r>
        <w:rPr>
          <w:rFonts w:hint="default" w:ascii="Times New Roman Regular" w:hAnsi="Times New Roman Regular" w:eastAsia="Calibri" w:cs="Times New Roman Regular"/>
          <w:b/>
          <w:bCs/>
          <w:iCs/>
          <w:kern w:val="2"/>
          <w:sz w:val="24"/>
          <w:szCs w:val="24"/>
          <w:lang w:val="tr"/>
          <w14:ligatures w14:val="standardContextual"/>
        </w:rPr>
        <w:t>ByLock'un münhasır ve örgütsel olduğu iddiasına ilişkin olarak öncelikle MİT tarafından yapılan tespitleri yargılama dışı bir bağlamda kabul ettiklerini ve bu tespitleri derinlemesine incelemediklerini kaydetmiştir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340). AİHM, bu tespit ile MİT verilerinin bir mahkeme denetimi olmadan kayıtsız kabulünü ihlal nedeni saymıştır.</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başvuranın aleyhindeki delillere itiraz etme ve savunmasını etkili bir şekilde ve iddia makamıyla eşit bir şekilde yürütme fırsatına sahip olmasını sağlamak için yeterli güvencelerin bulunmadığı kanaatine varmıştır.  Ayrıca, ulusal mahkemelerin başvuranın özel ve ilgili taleplerine ve itirazlarına cevap vermemesi, savunma argümanlarına karşı duyarsız oldukları ve başvuranın gerçekten </w:t>
      </w:r>
      <w:r>
        <w:rPr>
          <w:rFonts w:hint="default" w:ascii="Times New Roman Regular" w:hAnsi="Times New Roman Regular" w:eastAsia="Calibri" w:cs="Times New Roman Regular"/>
          <w:i/>
          <w:kern w:val="2"/>
          <w:sz w:val="24"/>
          <w:szCs w:val="24"/>
          <w:lang w:val="tr"/>
          <w14:ligatures w14:val="standardContextual"/>
        </w:rPr>
        <w:t>"dinlenmediği"</w:t>
      </w:r>
      <w:r>
        <w:rPr>
          <w:rFonts w:hint="default" w:ascii="Times New Roman Regular" w:hAnsi="Times New Roman Regular" w:eastAsia="Calibri" w:cs="Times New Roman Regular"/>
          <w:iCs/>
          <w:kern w:val="2"/>
          <w:sz w:val="24"/>
          <w:szCs w:val="24"/>
          <w:lang w:val="tr"/>
          <w14:ligatures w14:val="standardContextual"/>
        </w:rPr>
        <w:t xml:space="preserve"> konusunda meşru bir şüphe uyandırmıştır. Usulüne uygun olarak gerekçelendirilmiş kararların adaletin düzgün bir şekilde yerine getirilmesi açısından taşıdığı önem göz önünde bulundurulduğunda, ulusal mahkemelerin davanın özüne ilişkin hayati konularda sessiz kalması, başvuranın, mahkemelerin bulgularına ve ceza yargılamasının </w:t>
      </w:r>
      <w:r>
        <w:rPr>
          <w:rFonts w:hint="default" w:ascii="Times New Roman Regular" w:hAnsi="Times New Roman Regular" w:eastAsia="Calibri" w:cs="Times New Roman Regular"/>
          <w:i/>
          <w:kern w:val="2"/>
          <w:sz w:val="24"/>
          <w:szCs w:val="24"/>
          <w:lang w:val="tr"/>
          <w14:ligatures w14:val="standardContextual"/>
        </w:rPr>
        <w:t>"sadece şekil yönünden"</w:t>
      </w:r>
      <w:r>
        <w:rPr>
          <w:rFonts w:hint="default" w:ascii="Times New Roman Regular" w:hAnsi="Times New Roman Regular" w:eastAsia="Calibri" w:cs="Times New Roman Regular"/>
          <w:iCs/>
          <w:kern w:val="2"/>
          <w:sz w:val="24"/>
          <w:szCs w:val="24"/>
          <w:lang w:val="tr"/>
          <w14:ligatures w14:val="standardContextual"/>
        </w:rPr>
        <w:t xml:space="preserve"> yürütülmesine ilişkin haklı endişeler duymasına yol açmıştır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341).</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w:t>
      </w:r>
      <w:r>
        <w:rPr>
          <w:rFonts w:hint="default" w:ascii="Times New Roman Regular" w:hAnsi="Times New Roman Regular" w:cs="Times New Roman Regular"/>
          <w:iCs/>
          <w:sz w:val="24"/>
          <w:szCs w:val="24"/>
          <w:lang w:val="tr"/>
        </w:rPr>
        <w:t>göre</w:t>
      </w:r>
      <w:r>
        <w:rPr>
          <w:rFonts w:hint="default" w:ascii="Times New Roman Regular" w:hAnsi="Times New Roman Regular" w:eastAsia="Calibri" w:cs="Times New Roman Regular"/>
          <w:iCs/>
          <w:kern w:val="2"/>
          <w:sz w:val="24"/>
          <w:szCs w:val="24"/>
          <w:lang w:val="tr"/>
          <w14:ligatures w14:val="standardContextual"/>
        </w:rPr>
        <w:t>, adaletin adil bir şekilde yerine getirilmesi hakkı, demokratik bir toplumda, yarar uğruna feda edilemeyecek kadar önemli bir yere sahiptir ve elde edilen deliller, elektronik olsun ya da olmasın, ulusal mahkemeler tarafından adil yargılamanın temel ilkelerini zedeleyecek şekilde kullanılamaz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344).</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başvuranın </w:t>
      </w:r>
      <w:r>
        <w:rPr>
          <w:rFonts w:hint="default" w:ascii="Times New Roman Regular" w:hAnsi="Times New Roman Regular" w:eastAsia="Calibri" w:cs="Times New Roman Regular"/>
          <w:b/>
          <w:bCs/>
          <w:iCs/>
          <w:kern w:val="2"/>
          <w:sz w:val="24"/>
          <w:szCs w:val="24"/>
          <w:lang w:val="tr"/>
          <w14:ligatures w14:val="standardContextual"/>
        </w:rPr>
        <w:t>Bank Asya'da</w:t>
      </w:r>
      <w:r>
        <w:rPr>
          <w:rFonts w:hint="default" w:ascii="Times New Roman Regular" w:hAnsi="Times New Roman Regular" w:eastAsia="Calibri" w:cs="Times New Roman Regular"/>
          <w:iCs/>
          <w:kern w:val="2"/>
          <w:sz w:val="24"/>
          <w:szCs w:val="24"/>
          <w:lang w:val="tr"/>
          <w14:ligatures w14:val="standardContextual"/>
        </w:rPr>
        <w:t xml:space="preserve"> hesap açması, </w:t>
      </w:r>
      <w:r>
        <w:rPr>
          <w:rFonts w:hint="default" w:ascii="Times New Roman Regular" w:hAnsi="Times New Roman Regular" w:eastAsia="Calibri" w:cs="Times New Roman Regular"/>
          <w:b/>
          <w:bCs/>
          <w:iCs/>
          <w:kern w:val="2"/>
          <w:sz w:val="24"/>
          <w:szCs w:val="24"/>
          <w:lang w:val="tr"/>
          <w14:ligatures w14:val="standardContextual"/>
        </w:rPr>
        <w:t>sendika ve dernek üyeliği</w:t>
      </w:r>
      <w:r>
        <w:rPr>
          <w:rFonts w:hint="default" w:ascii="Times New Roman Regular" w:hAnsi="Times New Roman Regular" w:eastAsia="Calibri" w:cs="Times New Roman Regular"/>
          <w:iCs/>
          <w:kern w:val="2"/>
          <w:sz w:val="24"/>
          <w:szCs w:val="24"/>
          <w:lang w:val="tr"/>
          <w14:ligatures w14:val="standardContextual"/>
        </w:rPr>
        <w:t xml:space="preserve"> delillerinin, ByLock’u destekleyici delil olması ve sınırlı öneme sahip olması nedeniyle incelemeye gerek görmemiştir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242). Bununla birlikte, Mahkeme, ulusal mahkemelerin kararlarında, bu eylemlerin, tali bir şekilde bile olsa, nasıl suç teşkil eden bir davranışa delil olabileceğine dair anlamlı bir tartışmanın eksikliğine dikkat çekmiştir. Bu bağlamda, söz konusu </w:t>
      </w:r>
      <w:r>
        <w:rPr>
          <w:rFonts w:hint="default" w:ascii="Times New Roman Regular" w:hAnsi="Times New Roman Regular" w:eastAsia="Calibri" w:cs="Times New Roman Regular"/>
          <w:b/>
          <w:bCs/>
          <w:iCs/>
          <w:kern w:val="2"/>
          <w:sz w:val="24"/>
          <w:szCs w:val="24"/>
          <w:lang w:val="tr"/>
          <w14:ligatures w14:val="standardContextual"/>
        </w:rPr>
        <w:t>eylemlerin, gerçekleştirildikleri tarihte, yasallık karinesinden yararlanan görünüşte yasal eylemler olduğunu (bkz. Taner Kılıç, § 105) ve dahası, bir sendikaya ve bir derneğe üyelik söz konusu olduğunda, başvuranın Sözleşme'deki haklarını kullanmasıyla ilgili olduğunu gözlemlemiştir.</w:t>
      </w:r>
      <w:r>
        <w:rPr>
          <w:rFonts w:hint="default" w:ascii="Times New Roman Regular" w:hAnsi="Times New Roman Regular" w:eastAsia="Calibri" w:cs="Times New Roman Regular"/>
          <w:iCs/>
          <w:kern w:val="2"/>
          <w:sz w:val="24"/>
          <w:szCs w:val="24"/>
          <w:lang w:val="tr"/>
          <w14:ligatures w14:val="standardContextual"/>
        </w:rPr>
        <w:t xml:space="preserve"> Dolayısıyla ulusal mahkemelerin, bu eylemlerin başvuranın silahlı bir terör örgütüne üye olduğuna ilişkin bulguyu nasıl güçlendirdiğini açıklığa kavuşturması gerekmektedir. </w:t>
      </w:r>
      <w:r>
        <w:rPr>
          <w:rFonts w:hint="default" w:ascii="Times New Roman Regular" w:hAnsi="Times New Roman Regular" w:eastAsia="Calibri" w:cs="Times New Roman Regular"/>
          <w:b/>
          <w:bCs/>
          <w:iCs/>
          <w:kern w:val="2"/>
          <w:sz w:val="24"/>
          <w:szCs w:val="24"/>
          <w:lang w:val="tr"/>
          <w14:ligatures w14:val="standardContextual"/>
        </w:rPr>
        <w:t>Mahkeme, özellikle, başvuranın Bank Asya işlemlerini açıklamak için sunduğu açıklamanın ulusal mahkemeler tarafından hiçbir zaman doğrulanmadığını veya başka bir şekilde ele alınmadığını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243).</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Mahkeme'nin görüşüne göre, yukarıda belirtilen hususlar, başvuran aleyhindeki ceza yargılamasının Sözleşme'nin 6/1. maddesini ihlal ederek adil yargılanma gerekliliklerini </w:t>
      </w:r>
      <w:r>
        <w:rPr>
          <w:rFonts w:hint="default" w:ascii="Times New Roman Regular" w:hAnsi="Times New Roman Regular" w:cs="Times New Roman Regular"/>
          <w:iCs/>
          <w:sz w:val="24"/>
          <w:szCs w:val="24"/>
          <w:lang w:val="tr"/>
        </w:rPr>
        <w:t>karşılamadığı</w:t>
      </w:r>
      <w:r>
        <w:rPr>
          <w:rFonts w:hint="default" w:ascii="Times New Roman Regular" w:hAnsi="Times New Roman Regular" w:eastAsia="Calibri" w:cs="Times New Roman Regular"/>
          <w:iCs/>
          <w:kern w:val="2"/>
          <w:sz w:val="24"/>
          <w:szCs w:val="24"/>
          <w:lang w:val="tr"/>
          <w14:ligatures w14:val="standardContextual"/>
        </w:rPr>
        <w:t xml:space="preserve"> sonucuna varmak için yeterlidir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346).</w:t>
      </w:r>
      <w:r>
        <w:rPr>
          <w:rFonts w:hint="default" w:ascii="Times New Roman Regular" w:hAnsi="Times New Roman Regular" w:eastAsia="Times New Roman" w:cs="Times New Roman Regular"/>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Mahkeme, yukarıdaki mülahazalar ışığında, mevcut davada Sözleşme'nin 6. maddesinin 1. fıkrasının ihlal edildiği sonucuna varmıştır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356).</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11.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11/1. Maddesi aşağıdaki gibidir:</w:t>
      </w:r>
    </w:p>
    <w:p>
      <w:pPr>
        <w:spacing w:line="240" w:lineRule="auto"/>
        <w:ind w:left="720"/>
        <w:contextualSpacing/>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çıkarlarını korumak için sendika kurma ve sendikalara üye olma hakkı da dahil olmak üzere, barışçıl olarak toplanma ve başkalarıyla birlikte örgütlenme özgürlüğü hakkına sahiptir.”</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11. maddede belirtilen örgütlenme özgürlüğü hakkı, dernek kurma hakkını da içermektedir. Ortak bir menfaat alanında kolektif olarak hareket etmek amacıyla tüzel </w:t>
      </w:r>
      <w:r>
        <w:rPr>
          <w:rFonts w:hint="default" w:ascii="Times New Roman Regular" w:hAnsi="Times New Roman Regular" w:cs="Times New Roman Regular"/>
          <w:iCs/>
          <w:sz w:val="24"/>
          <w:szCs w:val="24"/>
          <w:lang w:val="tr"/>
        </w:rPr>
        <w:t>kişilik</w:t>
      </w:r>
      <w:r>
        <w:rPr>
          <w:rFonts w:hint="default" w:ascii="Times New Roman Regular" w:hAnsi="Times New Roman Regular" w:eastAsia="Calibri" w:cs="Times New Roman Regular"/>
          <w:iCs/>
          <w:kern w:val="2"/>
          <w:sz w:val="24"/>
          <w:szCs w:val="24"/>
          <w:lang w:val="tr"/>
          <w14:ligatures w14:val="standardContextual"/>
        </w:rPr>
        <w:t xml:space="preserve"> kurabilme, örgütlenme özgürlüğünün en önemli unsurlarından biridir ve bu hak olmaksızın herhangi bir anlam ifade etmeyecektir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385).</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mahkumiyete konu sendika ve derneğin, darbe girişiminin ardından FETÖ/PDY ile </w:t>
      </w:r>
      <w:r>
        <w:rPr>
          <w:rFonts w:hint="default" w:ascii="Times New Roman Regular" w:hAnsi="Times New Roman Regular" w:cs="Times New Roman Regular"/>
          <w:iCs/>
          <w:sz w:val="24"/>
          <w:szCs w:val="24"/>
          <w:lang w:val="tr"/>
        </w:rPr>
        <w:t>bağlantılı</w:t>
      </w:r>
      <w:r>
        <w:rPr>
          <w:rFonts w:hint="default" w:ascii="Times New Roman Regular" w:hAnsi="Times New Roman Regular" w:eastAsia="Calibri" w:cs="Times New Roman Regular"/>
          <w:iCs/>
          <w:kern w:val="2"/>
          <w:sz w:val="24"/>
          <w:szCs w:val="24"/>
          <w:lang w:val="tr"/>
          <w14:ligatures w14:val="standardContextual"/>
        </w:rPr>
        <w:t xml:space="preserve"> oldukları gerekçesiyle 667 sayılı Kanun Hükmünde Kararname ile kapatılmadan önce yasal olarak kuruldukları ve faaliyet gösterdikleri, görünüşte Sözleşme'nin 11. maddesi kapsamına giren ve şiddeti teşvik etmeyen veya demokratik bir toplumun temellerini başka bir şekilde reddetmeyen eylemlerin yasallık karinesinden yararlanması gerektiğini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390).</w:t>
      </w:r>
      <w:r>
        <w:rPr>
          <w:rFonts w:hint="default" w:ascii="Times New Roman Regular" w:hAnsi="Times New Roman Regular" w:eastAsia="Times New Roman" w:cs="Times New Roman Regular"/>
          <w:color w:val="000000"/>
          <w:sz w:val="24"/>
          <w:szCs w:val="24"/>
          <w:lang w:val="tr" w:eastAsia="fr-CH"/>
        </w:rPr>
        <w:t xml:space="preserve"> Yerel </w:t>
      </w:r>
      <w:r>
        <w:rPr>
          <w:rFonts w:hint="default" w:ascii="Times New Roman Regular" w:hAnsi="Times New Roman Regular" w:eastAsia="Calibri" w:cs="Times New Roman Regular"/>
          <w:iCs/>
          <w:kern w:val="2"/>
          <w:sz w:val="24"/>
          <w:szCs w:val="24"/>
          <w:lang w:val="tr"/>
          <w14:ligatures w14:val="standardContextual"/>
        </w:rPr>
        <w:t>Mahkeme kararında, başvuranın bu yapılar içerisinde herhangi bir eylemde bulunup bulunmadığına ve eğer bulunmuşsa, bu eylemlerin niteliğinin ne olduğuna ilişkin herhangi bir açıklama da yer almamıştır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391).</w:t>
      </w:r>
      <w:r>
        <w:rPr>
          <w:rFonts w:hint="default" w:ascii="Times New Roman Regular" w:hAnsi="Times New Roman Regular" w:eastAsia="Times New Roman" w:cs="Times New Roman Regular"/>
          <w:color w:val="000000"/>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Hükümet, başvuranın sendika ve dernek üyeliklerine ilişkin yasallık karinesini çürütmek için herhangi bir özel kanıt sunmamıştır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392).</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Ceza Kanunu'nun 314. maddesinin kapsamının, bu hükmü yorumlayan içtihatlarda gerekli olan ve silahlı bir terör örgütüne üyeliği gösteren süreklilik, çeşitlilik ve yoğunluk kriterlerini yerine getirecek somut unsurlar olmaksızın, suç teşkil eden bir davranış göstergesi olarak, her ikisi de o dönemde yasal olarak faaliyet gösteren bir sendikaya ve bir derneğe üyeliği içerecek şekilde öngörülemeyen bir şekilde genişletildiği gerçeğine vurgu yapmıştır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394). </w:t>
      </w:r>
    </w:p>
    <w:p>
      <w:pPr>
        <w:pStyle w:val="7"/>
        <w:numPr>
          <w:ilvl w:val="0"/>
          <w:numId w:val="5"/>
        </w:numPr>
        <w:tabs>
          <w:tab w:val="left" w:pos="720"/>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Yukarıda</w:t>
      </w:r>
      <w:r>
        <w:rPr>
          <w:rFonts w:hint="default" w:ascii="Times New Roman Regular" w:hAnsi="Times New Roman Regular" w:eastAsia="Calibri" w:cs="Times New Roman Regular"/>
          <w:iCs/>
          <w:kern w:val="2"/>
          <w:sz w:val="24"/>
          <w:szCs w:val="24"/>
          <w:lang w:val="tr"/>
          <w14:ligatures w14:val="standardContextual"/>
        </w:rPr>
        <w:t xml:space="preserve"> belirtilen hususlar ışığında Mahkeme, mevcut davada </w:t>
      </w:r>
      <w:r>
        <w:rPr>
          <w:rFonts w:hint="default" w:ascii="Times New Roman Regular" w:hAnsi="Times New Roman Regular" w:eastAsia="Calibri" w:cs="Times New Roman Regular"/>
          <w:b/>
          <w:bCs/>
          <w:iCs/>
          <w:kern w:val="2"/>
          <w:sz w:val="24"/>
          <w:szCs w:val="24"/>
          <w:lang w:val="tr"/>
          <w14:ligatures w14:val="standardContextual"/>
        </w:rPr>
        <w:t xml:space="preserve">Ceza Kanunu'nun 314/2. </w:t>
      </w:r>
      <w:r>
        <w:rPr>
          <w:rFonts w:hint="default" w:ascii="Times New Roman Regular" w:hAnsi="Times New Roman Regular" w:eastAsia="Calibri" w:cs="Times New Roman Regular"/>
          <w:iCs/>
          <w:kern w:val="2"/>
          <w:sz w:val="24"/>
          <w:szCs w:val="24"/>
          <w:lang w:val="tr"/>
          <w14:ligatures w14:val="standardContextual"/>
        </w:rPr>
        <w:t xml:space="preserve">maddesinin başvuranın Aktif Eğitim-Sen ve Kayseri Gönüllü Eğitimciler Derneği üyeliğiyle ilgili olarak yorumlanma şeklinin, bu </w:t>
      </w:r>
      <w:r>
        <w:rPr>
          <w:rFonts w:hint="default" w:ascii="Times New Roman Regular" w:hAnsi="Times New Roman Regular" w:eastAsia="Calibri" w:cs="Times New Roman Regular"/>
          <w:b/>
          <w:bCs/>
          <w:iCs/>
          <w:kern w:val="2"/>
          <w:sz w:val="24"/>
          <w:szCs w:val="24"/>
          <w:lang w:val="tr"/>
          <w14:ligatures w14:val="standardContextual"/>
        </w:rPr>
        <w:t xml:space="preserve">hükmün kapsamını öngörülemeyen bir şekilde genişlettiğini, keyfi müdahalelere karşı gerekli asgari korumayı sağlamadığını ve bu nedenle Sözleşme'nin 11/2. maddesinin gerektirdiği şekilde </w:t>
      </w:r>
      <w:r>
        <w:rPr>
          <w:rFonts w:hint="default" w:ascii="Times New Roman Regular" w:hAnsi="Times New Roman Regular" w:eastAsia="Calibri" w:cs="Times New Roman Regular"/>
          <w:b/>
          <w:bCs/>
          <w:i/>
          <w:kern w:val="2"/>
          <w:sz w:val="24"/>
          <w:szCs w:val="24"/>
          <w:lang w:val="tr"/>
          <w14:ligatures w14:val="standardContextual"/>
        </w:rPr>
        <w:t>"kanunla öngörülmüş"</w:t>
      </w:r>
      <w:r>
        <w:rPr>
          <w:rFonts w:hint="default" w:ascii="Times New Roman Regular" w:hAnsi="Times New Roman Regular" w:eastAsia="Calibri" w:cs="Times New Roman Regular"/>
          <w:b/>
          <w:bCs/>
          <w:iCs/>
          <w:kern w:val="2"/>
          <w:sz w:val="24"/>
          <w:szCs w:val="24"/>
          <w:lang w:val="tr"/>
          <w14:ligatures w14:val="standardContextual"/>
        </w:rPr>
        <w:t xml:space="preserve"> olarak kabul edilemeyeceğini tespit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396).</w:t>
      </w:r>
    </w:p>
    <w:p>
      <w:pPr>
        <w:pStyle w:val="7"/>
        <w:numPr>
          <w:ilvl w:val="0"/>
          <w:numId w:val="5"/>
        </w:numPr>
        <w:tabs>
          <w:tab w:val="left" w:pos="720"/>
          <w:tab w:val="left" w:pos="3870"/>
        </w:tabs>
        <w:spacing w:line="240" w:lineRule="auto"/>
        <w:ind w:left="630" w:right="-378"/>
        <w:jc w:val="both"/>
        <w:rPr>
          <w:rFonts w:ascii="Times New Roman" w:hAnsi="Times New Roman" w:cs="Times New Roman"/>
          <w:bCs/>
          <w:sz w:val="24"/>
          <w:szCs w:val="24"/>
        </w:rPr>
      </w:pPr>
      <w:r>
        <w:rPr>
          <w:rFonts w:hint="default" w:ascii="Times New Roman Regular" w:hAnsi="Times New Roman Regular" w:eastAsia="Calibri" w:cs="Times New Roman Regular"/>
          <w:iCs/>
          <w:kern w:val="2"/>
          <w:sz w:val="24"/>
          <w:szCs w:val="24"/>
          <w:lang w:val="tr"/>
          <w14:ligatures w14:val="standardContextual"/>
        </w:rPr>
        <w:t>AİHM sonuç olarak, mevcut davada Sözleşme'nin 11. maddesinin ihlal edildiğine karar vermiştir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402).</w:t>
      </w:r>
    </w:p>
    <w:p>
      <w:pPr>
        <w:pStyle w:val="7"/>
        <w:numPr>
          <w:ilvl w:val="0"/>
          <w:numId w:val="5"/>
        </w:numPr>
        <w:tabs>
          <w:tab w:val="left" w:pos="720"/>
          <w:tab w:val="left" w:pos="3870"/>
        </w:tabs>
        <w:spacing w:line="240"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iddianamede tarafıma yöneltilen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5"/>
        </w:numPr>
        <w:tabs>
          <w:tab w:val="left" w:pos="720"/>
          <w:tab w:val="left" w:pos="3870"/>
        </w:tabs>
        <w:spacing w:line="240"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kararına göre terör örgütü üyeliği suçlamasına delil olarak gösterilen fiiller gerekçe gösterilerek </w:t>
      </w:r>
      <w:r>
        <w:rPr>
          <w:rFonts w:hint="default" w:ascii="Times New Roman Regular" w:hAnsi="Times New Roman Regular" w:cs="Times New Roman Regular"/>
          <w:iCs/>
          <w:sz w:val="24"/>
          <w:szCs w:val="24"/>
          <w:lang w:val="tr"/>
        </w:rPr>
        <w:t xml:space="preserve">terör </w:t>
      </w:r>
      <w:r>
        <w:rPr>
          <w:rFonts w:ascii="Times New Roman" w:hAnsi="Times New Roman" w:cs="Times New Roman"/>
          <w:bCs/>
          <w:sz w:val="24"/>
          <w:szCs w:val="24"/>
        </w:rPr>
        <w:t xml:space="preserve">örgütü üyeliği suçlamasında bulunulması ve mahkumiyet kararı verilmesi kanunsuz ve keyfidir. Bu nedenle de ortada davanın esasına etkileyecek ve suçlamaları boşa düşürecek derecede önemli ve tartışmasız yeni bir delil ortaya çıkmıştır. </w:t>
      </w:r>
    </w:p>
    <w:p>
      <w:pPr>
        <w:pStyle w:val="7"/>
        <w:numPr>
          <w:ilvl w:val="0"/>
          <w:numId w:val="5"/>
        </w:numPr>
        <w:tabs>
          <w:tab w:val="left" w:pos="720"/>
          <w:tab w:val="left" w:pos="3870"/>
        </w:tabs>
        <w:spacing w:line="240"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Davayı Büyük Daire incelemiş ve kesin karar vermiştir. Bu dava diğer benzer davalara örnek teşkil </w:t>
      </w:r>
      <w:r>
        <w:rPr>
          <w:rFonts w:hint="default" w:ascii="Times New Roman Regular" w:hAnsi="Times New Roman Regular" w:cs="Times New Roman Regular"/>
          <w:iCs/>
          <w:sz w:val="24"/>
          <w:szCs w:val="24"/>
          <w:lang w:val="tr"/>
        </w:rPr>
        <w:t xml:space="preserve">etmesi </w:t>
      </w:r>
      <w:r>
        <w:rPr>
          <w:rFonts w:ascii="Times New Roman" w:hAnsi="Times New Roman" w:cs="Times New Roman"/>
          <w:bCs/>
          <w:sz w:val="24"/>
          <w:szCs w:val="24"/>
        </w:rPr>
        <w:t>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5"/>
        </w:numPr>
        <w:tabs>
          <w:tab w:val="left" w:pos="720"/>
          <w:tab w:val="left" w:pos="3870"/>
        </w:tabs>
        <w:spacing w:line="240"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5"/>
        </w:numPr>
        <w:tabs>
          <w:tab w:val="left" w:pos="720"/>
          <w:tab w:val="left" w:pos="3870"/>
        </w:tabs>
        <w:spacing w:line="240"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w:t>
      </w:r>
      <w:r>
        <w:rPr>
          <w:rFonts w:hint="default" w:ascii="Times New Roman Regular" w:hAnsi="Times New Roman Regular" w:cs="Times New Roman Regular"/>
          <w:iCs/>
          <w:sz w:val="24"/>
          <w:szCs w:val="24"/>
          <w:lang w:val="tr"/>
        </w:rPr>
        <w:t xml:space="preserve">AİHM’in </w:t>
      </w:r>
      <w:r>
        <w:rPr>
          <w:rFonts w:ascii="Times New Roman" w:hAnsi="Times New Roman" w:cs="Times New Roman"/>
          <w:bCs/>
          <w:sz w:val="24"/>
          <w:szCs w:val="24"/>
        </w:rPr>
        <w:t xml:space="preserve">kararında bahsedilen sistemik sorunun bir parçasıyım. AİHM, verdiği kararının benzer dosyalara, kesinleşen kararlara da uygulanmasını ve yargılamalarının yenilenmesi gerektiğini belirtmiştir. Bu nedenle beraatimi sağlayacak şekilde kararı verilmesi Anayasanın ve Sözleşme hukukunun üstünlüğünün gereğidir. </w:t>
      </w:r>
    </w:p>
    <w:p>
      <w:pPr>
        <w:tabs>
          <w:tab w:val="left" w:pos="3870"/>
        </w:tabs>
        <w:spacing w:line="276" w:lineRule="auto"/>
        <w:ind w:right="-378"/>
        <w:jc w:val="both"/>
        <w:rPr>
          <w:rFonts w:ascii="Times New Roman" w:hAnsi="Times New Roman" w:cs="Times New Roman"/>
          <w:iCs/>
          <w:lang w:val="tr"/>
        </w:rPr>
      </w:pPr>
    </w:p>
    <w:p>
      <w:pPr>
        <w:pStyle w:val="7"/>
        <w:numPr>
          <w:ilvl w:val="0"/>
          <w:numId w:val="1"/>
        </w:numPr>
        <w:tabs>
          <w:tab w:val="left" w:pos="1200"/>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5"/>
        </w:numPr>
        <w:tabs>
          <w:tab w:val="left" w:pos="720"/>
          <w:tab w:val="left" w:pos="3870"/>
        </w:tabs>
        <w:spacing w:line="240"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w:t>
      </w:r>
      <w:r>
        <w:rPr>
          <w:rFonts w:hint="default" w:ascii="Times New Roman Regular" w:hAnsi="Times New Roman Regular" w:cs="Times New Roman Regular"/>
          <w:iCs/>
          <w:sz w:val="24"/>
          <w:szCs w:val="24"/>
          <w:lang w:val="tr"/>
        </w:rPr>
        <w:t xml:space="preserve">tespit </w:t>
      </w:r>
      <w:r>
        <w:rPr>
          <w:rFonts w:ascii="Times New Roman" w:hAnsi="Times New Roman" w:cs="Times New Roman"/>
          <w:iCs/>
          <w:sz w:val="24"/>
          <w:szCs w:val="24"/>
          <w:lang w:val="tr"/>
        </w:rPr>
        <w:t>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5"/>
        </w:numPr>
        <w:tabs>
          <w:tab w:val="left" w:pos="720"/>
          <w:tab w:val="left" w:pos="3870"/>
        </w:tabs>
        <w:spacing w:line="240"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w:t>
      </w:r>
      <w:r>
        <w:rPr>
          <w:rFonts w:hint="default" w:ascii="Times New Roman Regular" w:hAnsi="Times New Roman Regular" w:cs="Times New Roman Regular"/>
          <w:iCs/>
          <w:sz w:val="24"/>
          <w:szCs w:val="24"/>
          <w:lang w:val="tr"/>
        </w:rPr>
        <w:t>durumlarda</w:t>
      </w:r>
      <w:r>
        <w:rPr>
          <w:rFonts w:ascii="Times New Roman" w:hAnsi="Times New Roman" w:cs="Times New Roman"/>
          <w:iCs/>
          <w:sz w:val="24"/>
          <w:szCs w:val="24"/>
          <w:lang w:val="tr"/>
        </w:rPr>
        <w:t>,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5"/>
        </w:numPr>
        <w:tabs>
          <w:tab w:val="left" w:pos="720"/>
          <w:tab w:val="left" w:pos="3870"/>
        </w:tabs>
        <w:spacing w:line="240"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 bu bağlamda, Bakanlar Komitesi'nin Rec(2004)6 sayılı Tavsiye Kararında belirtildiği üzere, </w:t>
      </w:r>
      <w:r>
        <w:rPr>
          <w:rFonts w:hint="default" w:ascii="Times New Roman Regular" w:hAnsi="Times New Roman Regular" w:cs="Times New Roman Regular"/>
          <w:iCs/>
          <w:sz w:val="24"/>
          <w:szCs w:val="24"/>
          <w:lang w:val="tr"/>
        </w:rPr>
        <w:t xml:space="preserve">Devletlerin </w:t>
      </w:r>
      <w:r>
        <w:rPr>
          <w:rFonts w:ascii="Times New Roman" w:hAnsi="Times New Roman" w:cs="Times New Roman"/>
          <w:iCs/>
          <w:sz w:val="24"/>
          <w:szCs w:val="24"/>
          <w:lang w:val="tr"/>
        </w:rPr>
        <w:t>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5"/>
        </w:numPr>
        <w:tabs>
          <w:tab w:val="left" w:pos="720"/>
          <w:tab w:val="left" w:pos="3870"/>
        </w:tabs>
        <w:spacing w:line="240" w:lineRule="auto"/>
        <w:ind w:left="630" w:right="-378"/>
        <w:jc w:val="both"/>
        <w:rPr>
          <w:rFonts w:ascii="Times New Roman" w:hAnsi="Times New Roman" w:cs="Times New Roman"/>
          <w:iCs/>
          <w:sz w:val="24"/>
          <w:szCs w:val="24"/>
          <w:lang w:val="tr"/>
        </w:rPr>
      </w:pPr>
      <w:r>
        <w:rPr>
          <w:rFonts w:hint="default" w:ascii="Times New Roman Regular" w:hAnsi="Times New Roman Regular" w:cs="Times New Roman Regular"/>
          <w:iCs/>
          <w:sz w:val="24"/>
          <w:szCs w:val="24"/>
          <w:lang w:val="tr"/>
        </w:rPr>
        <w:t xml:space="preserve">Mahkeme </w:t>
      </w:r>
      <w:r>
        <w:rPr>
          <w:rFonts w:ascii="Times New Roman" w:hAnsi="Times New Roman" w:cs="Times New Roman"/>
          <w:iCs/>
          <w:sz w:val="24"/>
          <w:szCs w:val="24"/>
          <w:lang w:val="tr"/>
        </w:rPr>
        <w:t xml:space="preserve">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5"/>
        </w:numPr>
        <w:tabs>
          <w:tab w:val="left" w:pos="720"/>
          <w:tab w:val="left" w:pos="3870"/>
        </w:tabs>
        <w:spacing w:line="240"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w:t>
      </w:r>
      <w:r>
        <w:rPr>
          <w:rFonts w:hint="default" w:ascii="Times New Roman Regular" w:hAnsi="Times New Roman Regular" w:cs="Times New Roman Regular"/>
          <w:iCs/>
          <w:sz w:val="24"/>
          <w:szCs w:val="24"/>
          <w:lang w:val="tr"/>
        </w:rPr>
        <w:t>Mahkeme</w:t>
      </w:r>
      <w:r>
        <w:rPr>
          <w:rFonts w:ascii="Times New Roman" w:hAnsi="Times New Roman" w:cs="Times New Roman"/>
          <w:iCs/>
          <w:sz w:val="24"/>
          <w:szCs w:val="24"/>
          <w:lang w:val="tr"/>
        </w:rPr>
        <w:t xml:space="preserv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5"/>
        </w:numPr>
        <w:tabs>
          <w:tab w:val="left" w:pos="720"/>
          <w:tab w:val="left" w:pos="3870"/>
        </w:tabs>
        <w:spacing w:line="240" w:lineRule="auto"/>
        <w:ind w:left="630" w:right="-378"/>
        <w:jc w:val="both"/>
        <w:rPr>
          <w:rFonts w:ascii="Times New Roman" w:hAnsi="Times New Roman" w:cs="Times New Roman"/>
          <w:sz w:val="24"/>
          <w:szCs w:val="24"/>
        </w:rPr>
      </w:pPr>
      <w:r>
        <w:rPr>
          <w:rFonts w:ascii="Times New Roman" w:hAnsi="Times New Roman" w:cs="Times New Roman"/>
          <w:sz w:val="24"/>
          <w:szCs w:val="24"/>
          <w:lang w:val="tr"/>
        </w:rPr>
        <w:t>H</w:t>
      </w:r>
      <w:r>
        <w:rPr>
          <w:rFonts w:ascii="Times New Roman" w:hAnsi="Times New Roman" w:cs="Times New Roman"/>
          <w:sz w:val="24"/>
          <w:szCs w:val="24"/>
        </w:rPr>
        <w:t xml:space="preserve">em AYM </w:t>
      </w:r>
      <w:r>
        <w:rPr>
          <w:rFonts w:hint="default" w:ascii="Times New Roman Regular" w:hAnsi="Times New Roman Regular" w:cs="Times New Roman Regular"/>
          <w:iCs/>
          <w:sz w:val="24"/>
          <w:szCs w:val="24"/>
          <w:lang w:val="tr"/>
        </w:rPr>
        <w:t xml:space="preserve">hem </w:t>
      </w:r>
      <w:r>
        <w:rPr>
          <w:rFonts w:ascii="Times New Roman" w:hAnsi="Times New Roman" w:cs="Times New Roman"/>
          <w:sz w:val="24"/>
          <w:szCs w:val="24"/>
        </w:rPr>
        <w:t xml:space="preserve">de AİHM verdiği kararlarla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5"/>
        </w:numPr>
        <w:tabs>
          <w:tab w:val="left" w:pos="720"/>
          <w:tab w:val="left" w:pos="3870"/>
        </w:tabs>
        <w:spacing w:line="240" w:lineRule="auto"/>
        <w:ind w:left="630" w:right="-378"/>
        <w:jc w:val="both"/>
        <w:rPr>
          <w:rFonts w:ascii="Times New Roman" w:hAnsi="Times New Roman" w:cs="Times New Roman"/>
          <w:sz w:val="24"/>
          <w:szCs w:val="24"/>
        </w:rPr>
      </w:pPr>
      <w:r>
        <w:rPr>
          <w:rFonts w:hint="default" w:ascii="Times New Roman Regular" w:hAnsi="Times New Roman Regular" w:cs="Times New Roman Regular"/>
          <w:iCs/>
          <w:sz w:val="24"/>
          <w:szCs w:val="24"/>
          <w:lang w:val="tr"/>
        </w:rPr>
        <w:t xml:space="preserve">Anayasa’nın </w:t>
      </w:r>
      <w:r>
        <w:rPr>
          <w:rFonts w:ascii="Times New Roman" w:hAnsi="Times New Roman" w:cs="Times New Roman"/>
          <w:sz w:val="24"/>
          <w:szCs w:val="24"/>
        </w:rPr>
        <w:t>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5"/>
        </w:numPr>
        <w:tabs>
          <w:tab w:val="left" w:pos="720"/>
          <w:tab w:val="left" w:pos="3870"/>
        </w:tabs>
        <w:spacing w:line="240" w:lineRule="auto"/>
        <w:ind w:left="630" w:right="-378"/>
        <w:jc w:val="both"/>
        <w:rPr>
          <w:rFonts w:ascii="Times New Roman" w:hAnsi="Times New Roman" w:cs="Times New Roman"/>
          <w:sz w:val="24"/>
          <w:szCs w:val="24"/>
        </w:rPr>
      </w:pPr>
      <w:r>
        <w:rPr>
          <w:rFonts w:ascii="Times New Roman" w:hAnsi="Times New Roman" w:cs="Times New Roman"/>
          <w:sz w:val="24"/>
          <w:szCs w:val="24"/>
        </w:rPr>
        <w:t xml:space="preserve">Avrupa </w:t>
      </w:r>
      <w:r>
        <w:rPr>
          <w:rFonts w:hint="default" w:ascii="Times New Roman Regular" w:hAnsi="Times New Roman Regular" w:cs="Times New Roman Regular"/>
          <w:iCs/>
          <w:sz w:val="24"/>
          <w:szCs w:val="24"/>
          <w:lang w:val="tr"/>
        </w:rPr>
        <w:t xml:space="preserve">İnsan </w:t>
      </w:r>
      <w:r>
        <w:rPr>
          <w:rFonts w:ascii="Times New Roman" w:hAnsi="Times New Roman" w:cs="Times New Roman"/>
          <w:sz w:val="24"/>
          <w:szCs w:val="24"/>
        </w:rPr>
        <w:t>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5"/>
        </w:numPr>
        <w:tabs>
          <w:tab w:val="left" w:pos="720"/>
          <w:tab w:val="left" w:pos="3870"/>
        </w:tabs>
        <w:spacing w:line="240" w:lineRule="auto"/>
        <w:ind w:left="630" w:right="-378"/>
        <w:jc w:val="both"/>
        <w:rPr>
          <w:rFonts w:ascii="Times New Roman" w:hAnsi="Times New Roman" w:cs="Times New Roman"/>
          <w:sz w:val="24"/>
          <w:szCs w:val="24"/>
        </w:rPr>
      </w:pPr>
      <w:r>
        <w:rPr>
          <w:rFonts w:ascii="Times New Roman" w:hAnsi="Times New Roman" w:cs="Times New Roman"/>
          <w:sz w:val="24"/>
          <w:szCs w:val="24"/>
        </w:rPr>
        <w:t>Yasama, Yürütme ve Yargı organları da Anayasanın 90. maddesi ve Sözleşme’nin 46. maddesi gereği tespit edilen ihlali gidermekle yükümlüdürler.</w:t>
      </w:r>
    </w:p>
    <w:p>
      <w:pPr>
        <w:pStyle w:val="7"/>
        <w:numPr>
          <w:ilvl w:val="0"/>
          <w:numId w:val="5"/>
        </w:numPr>
        <w:tabs>
          <w:tab w:val="left" w:pos="720"/>
          <w:tab w:val="left" w:pos="3870"/>
        </w:tabs>
        <w:spacing w:line="240" w:lineRule="auto"/>
        <w:ind w:left="630" w:right="-378"/>
        <w:jc w:val="both"/>
        <w:rPr>
          <w:rFonts w:hint="default" w:ascii="Times New Roman Italic" w:hAnsi="Times New Roman Italic" w:cs="Times New Roman Italic"/>
          <w:i/>
          <w:iCs/>
          <w:sz w:val="24"/>
          <w:szCs w:val="24"/>
        </w:rPr>
      </w:pPr>
      <w:r>
        <w:rPr>
          <w:rFonts w:hint="default" w:ascii="Times New Roman" w:hAnsi="Times New Roman"/>
          <w:sz w:val="24"/>
          <w:szCs w:val="24"/>
        </w:rPr>
        <w:t xml:space="preserve">Ceza hukukçusu ve Ceza Kanununu hazırlayan heyetin içinde olan Prof. Dr. İzzet Özgenç, AİHM kararı sonrasında yaptığı açıklamada, </w:t>
      </w:r>
      <w:r>
        <w:rPr>
          <w:rFonts w:hint="default" w:ascii="Times New Roman Italic" w:hAnsi="Times New Roman Italic" w:cs="Times New Roman Italic"/>
          <w:i/>
          <w:iCs/>
          <w:sz w:val="24"/>
          <w:szCs w:val="24"/>
        </w:rPr>
        <w:t xml:space="preserve">‘Bu karar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zerine, başvurucu hakkında kurulan kesinleşmiş mahkûmiyet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km</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yle ilgili olarak izlenmesi gereken yol, CMK, m. 311’de belirlenmiştir. Ancak, bu karar, sadece başvurucu bakımından değil, benzer durumda bulunan çok sayıda ş</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pheli, sanık ve hatta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ml</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 bakımından da dikkate alınması gereken bir mahiyet taşımaktadır.’ </w:t>
      </w:r>
      <w:r>
        <w:rPr>
          <w:rFonts w:hint="default" w:ascii="Times New Roman" w:hAnsi="Times New Roman" w:cs="Times New Roman"/>
          <w:i w:val="0"/>
          <w:iCs w:val="0"/>
          <w:sz w:val="24"/>
          <w:szCs w:val="24"/>
          <w:lang w:val="tr-TR"/>
        </w:rPr>
        <w:t>demiştir.</w:t>
      </w:r>
    </w:p>
    <w:p>
      <w:pPr>
        <w:pStyle w:val="7"/>
        <w:numPr>
          <w:ilvl w:val="0"/>
          <w:numId w:val="5"/>
        </w:numPr>
        <w:tabs>
          <w:tab w:val="left" w:pos="720"/>
          <w:tab w:val="left" w:pos="3870"/>
        </w:tabs>
        <w:spacing w:line="240" w:lineRule="auto"/>
        <w:ind w:left="630" w:right="-378"/>
        <w:jc w:val="both"/>
        <w:rPr>
          <w:rFonts w:ascii="Times New Roman" w:hAnsi="Times New Roman" w:cs="Times New Roman"/>
          <w:sz w:val="24"/>
          <w:szCs w:val="24"/>
        </w:rPr>
      </w:pPr>
      <w:r>
        <w:rPr>
          <w:rFonts w:hint="default" w:ascii="Times New Roman" w:hAnsi="Times New Roman"/>
          <w:sz w:val="24"/>
          <w:szCs w:val="24"/>
        </w:rPr>
        <w:t>Yine bir başka ceza hukukçusu Prof.Dr. Doğan Soyaslan tarafından AİHM kararı üzerine CMK.67/6 maddesi kapsamında hazırlanan hukuki mütalaada</w:t>
      </w:r>
      <w:r>
        <w:rPr>
          <w:rFonts w:hint="default" w:ascii="Times New Roman Italic" w:hAnsi="Times New Roman Italic" w:cs="Times New Roman Italic"/>
          <w:i/>
          <w:iCs/>
          <w:sz w:val="24"/>
          <w:szCs w:val="24"/>
        </w:rPr>
        <w:t xml:space="preserve"> ‘Avrupa İnsan Hakları Mahkemesi’ne göre başvurucu Y</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ksel Yalçınkaya, mahkumiyet için karine kabul edilen Bylock kullanımı ve yan delil olarak kullanılan sendika-dernek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yeliği nedenleri ile TCK 314/1 maddesinde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enlenen, Anayasal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 xml:space="preserve">eni yıkmak </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ere silahlı terör örg</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t</w:t>
      </w:r>
      <w:r>
        <w:rPr>
          <w:rFonts w:hint="default" w:ascii="Times New Roman Italic" w:hAnsi="Times New Roman Italic" w:cs="Times New Roman Italic"/>
          <w:i/>
          <w:iCs/>
          <w:sz w:val="24"/>
          <w:szCs w:val="24"/>
          <w:lang w:val="tr-TR"/>
        </w:rPr>
        <w:t>ün</w:t>
      </w:r>
      <w:r>
        <w:rPr>
          <w:rFonts w:hint="default" w:ascii="Times New Roman Italic" w:hAnsi="Times New Roman Italic" w:cs="Times New Roman Italic"/>
          <w:i/>
          <w:iCs/>
          <w:sz w:val="24"/>
          <w:szCs w:val="24"/>
        </w:rPr>
        <w:t xml:space="preserve">e </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yelik suçunun maddi ve manevi unsurlarını oluşturacak bir fiil işlememiştir.</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rPr>
        <w:t>Kayseri Ağır Ceza Mahkemesi, kişinin kanuna göre cezalandırılma hakkını ihlal etmiştir. (Sözleşme md. 7/1) T</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 bu nedenlerle Kayseri Ağır Ceza Mahkemesi ile benzer yönde kararlar veren diğer mahkemeler CMK 311/1-f maddesi ve öngör</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len diğer yollar uyarınca yargılamanın yenilenmesine ve başvurucuların/sanıkların beraatlerine karar vermelidir.’</w:t>
      </w:r>
      <w:r>
        <w:rPr>
          <w:rFonts w:hint="default" w:ascii="Times New Roman" w:hAnsi="Times New Roman"/>
          <w:sz w:val="24"/>
          <w:szCs w:val="24"/>
        </w:rPr>
        <w:t xml:space="preserve"> </w:t>
      </w:r>
      <w:r>
        <w:rPr>
          <w:rFonts w:hint="default" w:ascii="Times New Roman" w:hAnsi="Times New Roman"/>
          <w:sz w:val="24"/>
          <w:szCs w:val="24"/>
          <w:lang w:val="tr-TR"/>
        </w:rPr>
        <w:t>d</w:t>
      </w:r>
      <w:r>
        <w:rPr>
          <w:rFonts w:hint="default" w:ascii="Times New Roman" w:hAnsi="Times New Roman"/>
          <w:sz w:val="24"/>
          <w:szCs w:val="24"/>
        </w:rPr>
        <w:t>iyerek AİHM Yalçınkaya kararının benzer durumda olan herkesin dosyasına uygulanarak beraat kararı verilmesi gerektiğini açıkça belirtmiştir.</w:t>
      </w:r>
    </w:p>
    <w:p>
      <w:pPr>
        <w:pStyle w:val="7"/>
        <w:numPr>
          <w:ilvl w:val="0"/>
          <w:numId w:val="0"/>
        </w:numPr>
        <w:tabs>
          <w:tab w:val="left" w:pos="720"/>
          <w:tab w:val="left" w:pos="3870"/>
        </w:tabs>
        <w:spacing w:line="240" w:lineRule="auto"/>
        <w:ind w:left="270" w:leftChars="0" w:right="-378" w:rightChars="0"/>
        <w:jc w:val="both"/>
        <w:rPr>
          <w:rFonts w:ascii="Times New Roman" w:hAnsi="Times New Roman" w:cs="Times New Roman"/>
          <w:sz w:val="24"/>
          <w:szCs w:val="24"/>
        </w:rPr>
      </w:pPr>
    </w:p>
    <w:p>
      <w:pPr>
        <w:pStyle w:val="7"/>
        <w:tabs>
          <w:tab w:val="left" w:pos="3870"/>
        </w:tabs>
        <w:spacing w:line="276" w:lineRule="auto"/>
        <w:ind w:left="630" w:right="-378"/>
        <w:jc w:val="both"/>
        <w:rPr>
          <w:rFonts w:ascii="Times New Roman" w:hAnsi="Times New Roman" w:cs="Times New Roman"/>
          <w:sz w:val="24"/>
          <w:szCs w:val="24"/>
        </w:rPr>
      </w:pPr>
    </w:p>
    <w:p>
      <w:pPr>
        <w:pStyle w:val="7"/>
        <w:numPr>
          <w:ilvl w:val="0"/>
          <w:numId w:val="1"/>
        </w:numPr>
        <w:tabs>
          <w:tab w:val="left" w:pos="1200"/>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TCK, CMK.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1200"/>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r>
        <w:rPr>
          <w:rFonts w:ascii="Times New Roman" w:hAnsi="Times New Roman" w:cs="Times New Roman"/>
          <w:color w:val="010000"/>
          <w:shd w:val="clear" w:color="auto" w:fill="FFFFFF"/>
        </w:rPr>
        <w:t xml:space="preserve"> </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mahkumiyet kararı verildiğinden</w:t>
      </w:r>
      <w:r>
        <w:rPr>
          <w:rFonts w:ascii="Times New Roman" w:hAnsi="Times New Roman" w:cs="Times New Roman"/>
          <w:color w:val="010000"/>
          <w:shd w:val="clear" w:color="auto" w:fill="FFFFFF"/>
        </w:rPr>
        <w:t xml:space="preserve"> AY 36, 90, 138, 153; AİHS 6, 7, 11, 46; 6216 sayılı Yasa 50 ve CMK 104</w:t>
      </w:r>
      <w:r>
        <w:rPr>
          <w:rFonts w:ascii="Times New Roman" w:hAnsi="Times New Roman" w:cs="Times New Roman"/>
          <w:color w:val="010000"/>
          <w:shd w:val="clear" w:color="auto" w:fill="FFFFFF"/>
          <w:lang w:val="tr-TR"/>
        </w:rPr>
        <w:t>, 302, 303/a</w:t>
      </w:r>
      <w:r>
        <w:rPr>
          <w:rFonts w:ascii="Times New Roman" w:hAnsi="Times New Roman" w:cs="Times New Roman"/>
          <w:color w:val="010000"/>
          <w:shd w:val="clear" w:color="auto" w:fill="FFFFFF"/>
        </w:rPr>
        <w:t xml:space="preserve"> maddeleri uyarınca</w:t>
      </w:r>
      <w:r>
        <w:rPr>
          <w:rFonts w:ascii="Times New Roman" w:hAnsi="Times New Roman" w:cs="Times New Roman"/>
          <w:color w:val="010000"/>
          <w:shd w:val="clear" w:color="auto" w:fill="FFFFFF"/>
          <w:lang w:val="tr-TR"/>
        </w:rPr>
        <w:t xml:space="preserve"> </w:t>
      </w:r>
      <w:r>
        <w:rPr>
          <w:rFonts w:hint="default" w:ascii="Times New Roman" w:hAnsi="Times New Roman" w:eastAsia="Times New Roman" w:cs="Times New Roman"/>
          <w:b w:val="0"/>
          <w:bCs w:val="0"/>
          <w:color w:val="000000"/>
          <w:kern w:val="0"/>
          <w:highlight w:val="none"/>
          <w:u w:val="none"/>
          <w:lang w:val="en-US" w:eastAsia="en-GB"/>
          <w14:ligatures w14:val="none"/>
        </w:rPr>
        <w:t>{tahliyeStatus}</w:t>
      </w:r>
      <w:r>
        <w:rPr>
          <w:rFonts w:ascii="Times New Roman" w:hAnsi="Times New Roman" w:cs="Times New Roman"/>
          <w:color w:val="010000"/>
          <w:shd w:val="clear" w:color="auto" w:fill="FFFFFF"/>
          <w:lang w:val="tr-TR"/>
        </w:rPr>
        <w:t xml:space="preserve">hukuka aykırı kararın esastan BOZULMASINA ve BERAATİME </w:t>
      </w:r>
      <w:r>
        <w:rPr>
          <w:rFonts w:ascii="Times New Roman" w:hAnsi="Times New Roman" w:cs="Times New Roman"/>
          <w:color w:val="010000"/>
          <w:shd w:val="clear" w:color="auto" w:fill="FFFFFF"/>
        </w:rPr>
        <w:t>karar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w:t>
      </w:r>
      <w:r>
        <w:rPr>
          <w:rFonts w:hint="default" w:ascii="Times New Roman" w:hAnsi="Times New Roman" w:cs="Times New Roman"/>
          <w:iCs/>
          <w:lang w:val="en-US"/>
        </w:rPr>
        <w:t>ler</w:t>
      </w:r>
      <w:r>
        <w:rPr>
          <w:rFonts w:ascii="Times New Roman" w:hAnsi="Times New Roman" w:cs="Times New Roman"/>
          <w:iCs/>
          <w:lang w:val="tr-TR"/>
        </w:rPr>
        <w:t xml:space="preserve">: </w:t>
      </w:r>
    </w:p>
    <w:p>
      <w:pPr>
        <w:numPr>
          <w:ilvl w:val="0"/>
          <w:numId w:val="6"/>
        </w:num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AİHM Yalçınkaya Kararı resmi tercümesi</w:t>
      </w:r>
    </w:p>
    <w:p>
      <w:pPr>
        <w:numPr>
          <w:ilvl w:val="0"/>
          <w:numId w:val="6"/>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Doğan Soyaslan'ın Mütalaası</w:t>
      </w:r>
    </w:p>
    <w:p>
      <w:pPr>
        <w:numPr>
          <w:ilvl w:val="0"/>
          <w:numId w:val="6"/>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İzzet Özgenç'in Değerlendirmesi</w:t>
      </w:r>
    </w:p>
    <w:p>
      <w:pPr>
        <w:numPr>
          <w:ilvl w:val="0"/>
          <w:numId w:val="6"/>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 xml:space="preserve">Yargıtay eski Başkanı Prof.Dr.Sami Selçuk’un </w:t>
      </w:r>
      <w:r>
        <w:rPr>
          <w:rFonts w:hint="default" w:ascii="Times New Roman" w:hAnsi="Times New Roman"/>
          <w:iCs/>
          <w:lang w:val="en-US"/>
        </w:rPr>
        <w:t>M</w:t>
      </w:r>
      <w:r>
        <w:rPr>
          <w:rFonts w:hint="default" w:ascii="Times New Roman" w:hAnsi="Times New Roman"/>
          <w:iCs/>
          <w:lang w:val="tr-TR"/>
        </w:rPr>
        <w:t>ütalaası</w:t>
      </w:r>
    </w:p>
    <w:p>
      <w:pPr>
        <w:numPr>
          <w:ilvl w:val="0"/>
          <w:numId w:val="6"/>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en-US"/>
        </w:rPr>
        <w:t>T</w:t>
      </w:r>
      <w:r>
        <w:rPr>
          <w:rFonts w:hint="default" w:ascii="Times New Roman" w:hAnsi="Times New Roman"/>
          <w:iCs/>
          <w:lang w:val="tr-TR"/>
        </w:rPr>
        <w:t>ürkiye Barolar Birliği İnsan Hakları Merkezi</w:t>
      </w:r>
      <w:r>
        <w:rPr>
          <w:rFonts w:hint="default" w:ascii="Times New Roman" w:hAnsi="Times New Roman"/>
          <w:iCs/>
          <w:lang w:val="en-US"/>
        </w:rPr>
        <w:t>’</w:t>
      </w:r>
      <w:r>
        <w:rPr>
          <w:rFonts w:hint="default" w:ascii="Times New Roman" w:hAnsi="Times New Roman"/>
          <w:iCs/>
          <w:lang w:val="tr-TR"/>
        </w:rPr>
        <w:t>nin Raporu</w:t>
      </w:r>
    </w:p>
    <w:p>
      <w:pPr>
        <w:numPr>
          <w:numId w:val="0"/>
        </w:numPr>
        <w:tabs>
          <w:tab w:val="left" w:pos="3870"/>
        </w:tabs>
        <w:spacing w:line="276" w:lineRule="auto"/>
        <w:ind w:right="-378" w:rightChars="0"/>
        <w:jc w:val="both"/>
        <w:rPr>
          <w:rFonts w:ascii="Times New Roman" w:hAnsi="Times New Roman" w:cs="Times New Roman"/>
          <w:iCs/>
          <w:lang w:val="tr-TR"/>
        </w:rPr>
      </w:pPr>
      <w:bookmarkStart w:id="1" w:name="_GoBack"/>
      <w:bookmarkEnd w:id="1"/>
    </w:p>
    <w:p>
      <w:pPr>
        <w:numPr>
          <w:ilvl w:val="0"/>
          <w:numId w:val="0"/>
        </w:numPr>
        <w:tabs>
          <w:tab w:val="left" w:pos="3870"/>
        </w:tabs>
        <w:spacing w:line="276" w:lineRule="auto"/>
        <w:ind w:right="-378" w:rightChars="0"/>
        <w:jc w:val="both"/>
        <w:rPr>
          <w:rFonts w:ascii="Times New Roman" w:hAnsi="Times New Roman" w:cs="Times New Roman"/>
          <w:iCs/>
          <w:lang w:val="tr-TR"/>
        </w:rPr>
      </w:pPr>
    </w:p>
    <w:p>
      <w:pPr>
        <w:spacing w:line="276" w:lineRule="auto"/>
        <w:jc w:val="both"/>
        <w:rPr>
          <w:rFonts w:ascii="Times New Roman" w:hAnsi="Times New Roman" w:eastAsia="Times New Roman" w:cs="Times New Roman"/>
          <w:color w:val="262626"/>
          <w:kern w:val="0"/>
          <w:lang w:val="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6"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F3078"/>
    <w:multiLevelType w:val="singleLevel"/>
    <w:tmpl w:val="DEDF3078"/>
    <w:lvl w:ilvl="0" w:tentative="0">
      <w:start w:val="1"/>
      <w:numFmt w:val="lowerLetter"/>
      <w:suff w:val="space"/>
      <w:lvlText w:val="%1)"/>
      <w:lvlJc w:val="left"/>
    </w:lvl>
  </w:abstractNum>
  <w:abstractNum w:abstractNumId="1">
    <w:nsid w:val="F95795FC"/>
    <w:multiLevelType w:val="singleLevel"/>
    <w:tmpl w:val="F95795FC"/>
    <w:lvl w:ilvl="0" w:tentative="0">
      <w:start w:val="1"/>
      <w:numFmt w:val="decimal"/>
      <w:lvlText w:val="%1."/>
      <w:lvlJc w:val="left"/>
      <w:pPr>
        <w:tabs>
          <w:tab w:val="left" w:pos="425"/>
        </w:tabs>
        <w:ind w:left="425" w:leftChars="0" w:hanging="425" w:firstLineChars="0"/>
      </w:pPr>
      <w:rPr>
        <w:rFonts w:hint="default"/>
        <w:b/>
        <w:bCs/>
      </w:rPr>
    </w:lvl>
  </w:abstractNum>
  <w:abstractNum w:abstractNumId="2">
    <w:nsid w:val="FFDAB80D"/>
    <w:multiLevelType w:val="singleLevel"/>
    <w:tmpl w:val="FFDAB80D"/>
    <w:lvl w:ilvl="0" w:tentative="0">
      <w:start w:val="1"/>
      <w:numFmt w:val="decimal"/>
      <w:suff w:val="space"/>
      <w:lvlText w:val="%1-"/>
      <w:lvlJc w:val="left"/>
    </w:lvl>
  </w:abstractNum>
  <w:abstractNum w:abstractNumId="3">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4">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036F64"/>
    <w:rsid w:val="00082689"/>
    <w:rsid w:val="000A475D"/>
    <w:rsid w:val="000B0959"/>
    <w:rsid w:val="00167D3E"/>
    <w:rsid w:val="00172969"/>
    <w:rsid w:val="001A74BC"/>
    <w:rsid w:val="00340593"/>
    <w:rsid w:val="004B463A"/>
    <w:rsid w:val="0051598E"/>
    <w:rsid w:val="0051747B"/>
    <w:rsid w:val="005231E9"/>
    <w:rsid w:val="00553AC5"/>
    <w:rsid w:val="00567E12"/>
    <w:rsid w:val="00597C63"/>
    <w:rsid w:val="005A7513"/>
    <w:rsid w:val="005C70F0"/>
    <w:rsid w:val="00844045"/>
    <w:rsid w:val="008C63BB"/>
    <w:rsid w:val="00901995"/>
    <w:rsid w:val="00913611"/>
    <w:rsid w:val="00955FE4"/>
    <w:rsid w:val="009A32AC"/>
    <w:rsid w:val="00B92D55"/>
    <w:rsid w:val="00BA0CA2"/>
    <w:rsid w:val="00CA2726"/>
    <w:rsid w:val="00D10DFC"/>
    <w:rsid w:val="00D20ACB"/>
    <w:rsid w:val="00D76324"/>
    <w:rsid w:val="00E32B94"/>
    <w:rsid w:val="00E81574"/>
    <w:rsid w:val="00EE06F7"/>
    <w:rsid w:val="00F41ADD"/>
    <w:rsid w:val="3FFF8F64"/>
    <w:rsid w:val="67FB4DD1"/>
    <w:rsid w:val="6DBF1ADC"/>
    <w:rsid w:val="6F7A1537"/>
    <w:rsid w:val="6FD764F8"/>
    <w:rsid w:val="7769DF78"/>
    <w:rsid w:val="7FFF30CD"/>
    <w:rsid w:val="B76FB6FD"/>
    <w:rsid w:val="BDFEC1C5"/>
    <w:rsid w:val="DCF7259A"/>
    <w:rsid w:val="EAE7EF15"/>
    <w:rsid w:val="EBF28D59"/>
    <w:rsid w:val="F6EAFC0A"/>
    <w:rsid w:val="F95CE5A0"/>
    <w:rsid w:val="FCAF40F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1828</Words>
  <Characters>12376</Characters>
  <Lines>215</Lines>
  <Paragraphs>51</Paragraphs>
  <TotalTime>0</TotalTime>
  <ScaleCrop>false</ScaleCrop>
  <LinksUpToDate>false</LinksUpToDate>
  <CharactersWithSpaces>14328</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2023-10-17T18:49:00Z</dcterms:created>
  <dc:creator>sumeyyeyilmaz</dc:creator>
  <cp:lastModifiedBy>sumeyyeyilmaz</cp:lastModifiedBy>
  <dcterms:modified xsi:type="dcterms:W3CDTF">2024-02-02T00:58:59Z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