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b/>
          <w:bCs/>
          <w:color w:val="B08D57"/>
          <w:sz w:val="32"/>
          <w:szCs w:val="32"/>
        </w:rPr>
        <w:t xml:space="preserve">THUCHOCVN</w:t>
      </w:r>
    </w:p>
    <w:p>
      <w:pPr>
        <w:spacing w:after="200"/>
        <w:jc w:val="center"/>
      </w:pPr>
      <w:r>
        <w:rPr>
          <w:b/>
          <w:bCs/>
          <w:color w:val="1F3864"/>
          <w:sz w:val="48"/>
          <w:szCs w:val="48"/>
        </w:rPr>
        <w:t xml:space="preserve">HƯỚNG DẪN SOẠN</w:t>
      </w:r>
    </w:p>
    <w:p>
      <w:pPr>
        <w:spacing w:after="200"/>
        <w:jc w:val="center"/>
      </w:pPr>
      <w:r>
        <w:rPr>
          <w:b/>
          <w:bCs/>
          <w:color w:val="1F3864"/>
          <w:sz w:val="48"/>
          <w:szCs w:val="48"/>
        </w:rPr>
        <w:t xml:space="preserve">30-DAY TRANSFORMATION ROADMAP</w:t>
      </w:r>
    </w:p>
    <w:p>
      <w:pPr>
        <w:spacing w:after="80"/>
        <w:jc w:val="center"/>
      </w:pPr>
      <w:r>
        <w:rPr>
          <w:i/>
          <w:iCs/>
          <w:color w:val="555555"/>
          <w:sz w:val="22"/>
          <w:szCs w:val="22"/>
        </w:rPr>
        <w:t xml:space="preserve">Từ Business Discovery Report đến lộ trình hành động chi tiết</w:t>
      </w:r>
    </w:p>
    <w:p>
      <w:pPr>
        <w:spacing w:after="60" w:before="400"/>
        <w:jc w:val="center"/>
      </w:pPr>
      <w:r>
        <w:rPr>
          <w:color w:val="777777"/>
          <w:sz w:val="19"/>
          <w:szCs w:val="19"/>
        </w:rPr>
        <w:t xml:space="preserve">Tài liệu nội bộ — dùng cùng Executive Report, TPS Canvas &amp; Consultant Workbook</w:t>
      </w:r>
    </w:p>
    <w:p>
      <w:r>
        <w:br w:type="page"/>
      </w:r>
    </w:p>
    <w:p>
      <w:pPr>
        <w:spacing w:after="60"/>
      </w:pPr>
      <w:r>
        <w:rPr>
          <w:b/>
          <w:bCs/>
          <w:color w:val="B08D57"/>
          <w:sz w:val="20"/>
          <w:szCs w:val="20"/>
        </w:rPr>
        <w:t xml:space="preserve">PHẦN 1</w:t>
      </w:r>
    </w:p>
    <w:p>
      <w:pPr>
        <w:pBdr>
          <w:bottom w:val="single" w:color="1F3864" w:sz="8"/>
        </w:pBdr>
        <w:spacing w:after="200"/>
      </w:pPr>
      <w:r>
        <w:rPr>
          <w:b/>
          <w:bCs/>
          <w:color w:val="1F3864"/>
          <w:sz w:val="40"/>
          <w:szCs w:val="40"/>
        </w:rPr>
        <w:t xml:space="preserve">Quy trình tổng quan</w:t>
      </w:r>
    </w:p>
    <w:p>
      <w:pPr>
        <w:spacing w:after="140"/>
      </w:pPr>
      <w:r>
        <w:rPr>
          <w:sz w:val="21"/>
          <w:szCs w:val="21"/>
        </w:rPr>
        <w:t xml:space="preserve">30-Day Transformation Roadmap không phải là bản sao của mục “Kế hoạch hành động 30 ngày” trong Executive Report — đó là bản chi tiết hóa để hai bên cùng dùng theo dõi tiến độ hàng tuần. Nếu Executive Report là tài liệu đọc một lần, Roadmap là tài liệu sống, cập nhật liên tục trong 30 ngày.</w:t>
      </w:r>
    </w:p>
    <w:p>
      <w:pPr>
        <w:spacing w:after="100" w:before="220"/>
      </w:pPr>
      <w:r>
        <w:rPr>
          <w:b/>
          <w:bCs/>
          <w:color w:val="1F3864"/>
          <w:sz w:val="22"/>
          <w:szCs w:val="22"/>
        </w:rPr>
        <w:t xml:space="preserve">Luồng dữ liệu</w:t>
      </w:r>
    </w:p>
    <w:p>
      <w:pPr>
        <w:pStyle w:val="ListParagraph"/>
        <w:numPr>
          <w:ilvl w:val="0"/>
          <w:numId w:val="1"/>
        </w:numPr>
        <w:spacing w:after="60"/>
      </w:pPr>
      <w:r>
        <w:rPr>
          <w:sz w:val="21"/>
          <w:szCs w:val="21"/>
        </w:rPr>
        <w:t xml:space="preserve">Bước 1 — Executive Report đã gửi và được khách hàng đồng ý (đặc biệt là Top 3 ưu tiên)</w:t>
      </w:r>
    </w:p>
    <w:p>
      <w:pPr>
        <w:pStyle w:val="ListParagraph"/>
        <w:numPr>
          <w:ilvl w:val="0"/>
          <w:numId w:val="1"/>
        </w:numPr>
        <w:spacing w:after="60"/>
      </w:pPr>
      <w:r>
        <w:rPr>
          <w:sz w:val="21"/>
          <w:szCs w:val="21"/>
        </w:rPr>
        <w:t xml:space="preserve">Bước 2 — Buổi Kick-off triển khai: xác nhận người phụ trách cụ thể, ngày bắt đầu chính thức, các ràng buộc lịch trình</w:t>
      </w:r>
    </w:p>
    <w:p>
      <w:pPr>
        <w:pStyle w:val="ListParagraph"/>
        <w:numPr>
          <w:ilvl w:val="0"/>
          <w:numId w:val="1"/>
        </w:numPr>
        <w:spacing w:after="60"/>
      </w:pPr>
      <w:r>
        <w:rPr>
          <w:sz w:val="21"/>
          <w:szCs w:val="21"/>
        </w:rPr>
        <w:t xml:space="preserve">Bước 3 — 30-Day Transformation Roadmap: chia nhỏ Top 3 ưu tiên thành việc cụ thể theo từng tuần</w:t>
      </w:r>
    </w:p>
    <w:p>
      <w:pPr>
        <w:spacing w:after="8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4C8C4A" w:sz="4"/>
              <w:left w:val="single" w:color="4C8C4A" w:sz="24"/>
              <w:bottom w:val="single" w:color="4C8C4A" w:sz="4"/>
              <w:right w:val="single" w:color="4C8C4A" w:sz="4"/>
            </w:tcBorders>
            <w:shd w:fill="EAF3EA" w:val="clear"/>
            <w:tcMar>
              <w:top w:type="dxa" w:w="140"/>
              <w:left w:type="dxa" w:w="200"/>
              <w:bottom w:type="dxa" w:w="140"/>
              <w:right w:type="dxa" w:w="200"/>
            </w:tcMar>
          </w:tcPr>
          <w:p>
            <w:pPr>
              <w:spacing w:after="60"/>
            </w:pPr>
            <w:r>
              <w:rPr>
                <w:b/>
                <w:bCs/>
                <w:color w:val="1F3864"/>
                <w:sz w:val="20"/>
                <w:szCs w:val="20"/>
              </w:rPr>
              <w:t xml:space="preserve">💡 MẸO</w:t>
            </w:r>
          </w:p>
          <w:p>
            <w:r>
              <w:rPr>
                <w:sz w:val="20"/>
                <w:szCs w:val="20"/>
              </w:rPr>
              <w:t xml:space="preserve">Đừng soạn Roadmap chỉ dựa trên Executive Report mà bỏ qua buổi Kick-off — thiếu bước xác nhận trực tiếp, bạn dễ đưa ra timeline không thực tế hoặc để trống tên người phụ trách.</w:t>
            </w:r>
          </w:p>
        </w:tc>
      </w:tr>
    </w:tbl>
    <w:p>
      <w:pPr>
        <w:spacing w:after="160"/>
      </w:pPr>
    </w:p>
    <w:p>
      <w:pPr>
        <w:spacing w:after="100" w:before="220"/>
      </w:pPr>
      <w:r>
        <w:rPr>
          <w:b/>
          <w:bCs/>
          <w:color w:val="1F3864"/>
          <w:sz w:val="22"/>
          <w:szCs w:val="22"/>
        </w:rPr>
        <w:t xml:space="preserve">Thời gian thực hiện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CCCCCC" w:sz="4"/>
              <w:left w:val="single" w:color="CCCCCC" w:sz="4"/>
              <w:bottom w:val="single" w:color="CCCCCC" w:sz="4"/>
              <w:right w:val="single" w:color="CCCCCC" w:sz="4"/>
            </w:tcBorders>
            <w:shd w:fill="E8E8E8" w:val="clear"/>
            <w:tcMar>
              <w:top w:type="dxa" w:w="80"/>
              <w:left w:type="dxa" w:w="100"/>
              <w:bottom w:type="dxa" w:w="80"/>
              <w:right w:type="dxa" w:w="100"/>
            </w:tcMar>
          </w:tcPr>
          <w:p>
            <w:r>
              <w:rPr>
                <w:b/>
                <w:bCs/>
                <w:sz w:val="20"/>
                <w:szCs w:val="20"/>
              </w:rPr>
              <w:t xml:space="preserve">Việc</w:t>
            </w:r>
          </w:p>
        </w:tc>
        <w:tc>
          <w:tcPr>
            <w:tcW w:type="dxa" w:w="4620"/>
            <w:tcBorders>
              <w:top w:val="single" w:color="CCCCCC" w:sz="4"/>
              <w:left w:val="single" w:color="CCCCCC" w:sz="4"/>
              <w:bottom w:val="single" w:color="CCCCCC" w:sz="4"/>
              <w:right w:val="single" w:color="CCCCCC" w:sz="4"/>
            </w:tcBorders>
            <w:shd w:fill="E8E8E8" w:val="clear"/>
            <w:tcMar>
              <w:top w:type="dxa" w:w="80"/>
              <w:left w:type="dxa" w:w="100"/>
              <w:bottom w:type="dxa" w:w="80"/>
              <w:right w:type="dxa" w:w="100"/>
            </w:tcMar>
          </w:tcPr>
          <w:p>
            <w:r>
              <w:rPr>
                <w:b/>
                <w:bCs/>
                <w:sz w:val="20"/>
                <w:szCs w:val="20"/>
              </w:rPr>
              <w:t xml:space="preserve">Thời điểm</w:t>
            </w:r>
          </w:p>
        </w:tc>
      </w:tr>
      <w:tr>
        <w:tc>
          <w:tcPr>
            <w:tcW w:type="dxa" w:w="462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Họp Kick-off triển khai với khách</w:t>
            </w:r>
          </w:p>
        </w:tc>
        <w:tc>
          <w:tcPr>
            <w:tcW w:type="dxa" w:w="462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Trong 1-2 ngày sau khi khách đồng ý Executive Report / ký Proposal</w:t>
            </w:r>
          </w:p>
        </w:tc>
      </w:tr>
      <w:tr>
        <w:tc>
          <w:tcPr>
            <w:tcW w:type="dxa" w:w="462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Soạn 30-Day Roadmap</w:t>
            </w:r>
          </w:p>
        </w:tc>
        <w:tc>
          <w:tcPr>
            <w:tcW w:type="dxa" w:w="462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Ngay sau Kick-off, hoàn thành trong vòng 1 ngày làm việc</w:t>
            </w:r>
          </w:p>
        </w:tc>
      </w:tr>
      <w:tr>
        <w:tc>
          <w:tcPr>
            <w:tcW w:type="dxa" w:w="462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Gửi khách xác nhận + bắt đầu Tuần 1</w:t>
            </w:r>
          </w:p>
        </w:tc>
        <w:tc>
          <w:tcPr>
            <w:tcW w:type="dxa" w:w="462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Trước ngày bắt đầu chính thức đã thống nhất</w:t>
            </w:r>
          </w:p>
        </w:tc>
      </w:tr>
    </w:tbl>
    <w:p>
      <w:r>
        <w:br w:type="page"/>
      </w:r>
    </w:p>
    <w:p>
      <w:pPr>
        <w:spacing w:after="60"/>
      </w:pPr>
      <w:r>
        <w:rPr>
          <w:b/>
          <w:bCs/>
          <w:color w:val="B08D57"/>
          <w:sz w:val="20"/>
          <w:szCs w:val="20"/>
        </w:rPr>
        <w:t xml:space="preserve">PHẦN 2</w:t>
      </w:r>
    </w:p>
    <w:p>
      <w:pPr>
        <w:pBdr>
          <w:bottom w:val="single" w:color="1F3864" w:sz="8"/>
        </w:pBdr>
        <w:spacing w:after="200"/>
      </w:pPr>
      <w:r>
        <w:rPr>
          <w:b/>
          <w:bCs/>
          <w:color w:val="1F3864"/>
          <w:sz w:val="40"/>
          <w:szCs w:val="40"/>
        </w:rPr>
        <w:t xml:space="preserve">Chuẩn bị trước khi viết</w:t>
      </w:r>
    </w:p>
    <w:p>
      <w:pPr>
        <w:spacing w:after="140"/>
      </w:pPr>
      <w:r>
        <w:rPr>
          <w:sz w:val="21"/>
          <w:szCs w:val="21"/>
        </w:rPr>
        <w:t xml:space="preserve">Trước khi mở file 30_Day_Transformation_Roadmap.docx, hãy chắc chắn bạn có sẵn trên tay:</w:t>
      </w:r>
    </w:p>
    <w:p>
      <w:pPr>
        <w:pStyle w:val="ListParagraph"/>
        <w:numPr>
          <w:ilvl w:val="0"/>
          <w:numId w:val="1"/>
        </w:numPr>
        <w:spacing w:after="60"/>
      </w:pPr>
      <w:r>
        <w:rPr>
          <w:sz w:val="21"/>
          <w:szCs w:val="21"/>
        </w:rPr>
        <w:t xml:space="preserve">Executive Report đã hoàn thiện — đặc biệt là Top 3 ưu tiên và Chỉ số đo lường thành công</w:t>
      </w:r>
    </w:p>
    <w:p>
      <w:pPr>
        <w:pStyle w:val="ListParagraph"/>
        <w:numPr>
          <w:ilvl w:val="0"/>
          <w:numId w:val="1"/>
        </w:numPr>
        <w:spacing w:after="60"/>
      </w:pPr>
      <w:r>
        <w:rPr>
          <w:sz w:val="21"/>
          <w:szCs w:val="21"/>
        </w:rPr>
        <w:t xml:space="preserve">Ghi chú buổi Kick-off: tên người phụ trách phía khách cho từng đầu việc, ngày bắt đầu/kết thúc</w:t>
      </w:r>
    </w:p>
    <w:p>
      <w:pPr>
        <w:pStyle w:val="ListParagraph"/>
        <w:numPr>
          <w:ilvl w:val="0"/>
          <w:numId w:val="1"/>
        </w:numPr>
        <w:spacing w:after="60"/>
      </w:pPr>
      <w:r>
        <w:rPr>
          <w:sz w:val="21"/>
          <w:szCs w:val="21"/>
        </w:rPr>
        <w:t xml:space="preserve">Mức độ sẵn sàng triển khai (Phần M Canvas) — quyết định tần suất checkpoint cần thiết</w:t>
      </w:r>
    </w:p>
    <w:p>
      <w:pPr>
        <w:spacing w:after="8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C0654A" w:sz="4"/>
              <w:left w:val="single" w:color="C0654A" w:sz="24"/>
              <w:bottom w:val="single" w:color="C0654A" w:sz="4"/>
              <w:right w:val="single" w:color="C0654A" w:sz="4"/>
            </w:tcBorders>
            <w:shd w:fill="FCEEEA" w:val="clear"/>
            <w:tcMar>
              <w:top w:type="dxa" w:w="140"/>
              <w:left w:type="dxa" w:w="200"/>
              <w:bottom w:type="dxa" w:w="140"/>
              <w:right w:type="dxa" w:w="200"/>
            </w:tcMar>
          </w:tcPr>
          <w:p>
            <w:pPr>
              <w:spacing w:after="60"/>
            </w:pPr>
            <w:r>
              <w:rPr>
                <w:b/>
                <w:bCs/>
                <w:color w:val="1F3864"/>
                <w:sz w:val="20"/>
                <w:szCs w:val="20"/>
              </w:rPr>
              <w:t xml:space="preserve">⚠ LỖI THƯỜNG GẶP</w:t>
            </w:r>
          </w:p>
          <w:p>
            <w:r>
              <w:rPr>
                <w:sz w:val="20"/>
                <w:szCs w:val="20"/>
              </w:rPr>
              <w:t xml:space="preserve">Đừng để trống ô “Người phụ trách” với hy vọng “hỏi khách sau”. Một Roadmap gửi đi với các ô trống tên người phụ trách gần như chắc chắn sẽ không được thực hiện đúng tiến độ.</w:t>
            </w:r>
          </w:p>
        </w:tc>
      </w:tr>
    </w:tbl>
    <w:p>
      <w:r>
        <w:br w:type="page"/>
      </w:r>
    </w:p>
    <w:p>
      <w:pPr>
        <w:spacing w:after="60"/>
      </w:pPr>
      <w:r>
        <w:rPr>
          <w:b/>
          <w:bCs/>
          <w:color w:val="B08D57"/>
          <w:sz w:val="20"/>
          <w:szCs w:val="20"/>
        </w:rPr>
        <w:t xml:space="preserve">PHẦN 3</w:t>
      </w:r>
    </w:p>
    <w:p>
      <w:pPr>
        <w:pBdr>
          <w:bottom w:val="single" w:color="1F3864" w:sz="8"/>
        </w:pBdr>
        <w:spacing w:after="200"/>
      </w:pPr>
      <w:r>
        <w:rPr>
          <w:b/>
          <w:bCs/>
          <w:color w:val="1F3864"/>
          <w:sz w:val="40"/>
          <w:szCs w:val="40"/>
        </w:rPr>
        <w:t xml:space="preserve">Hướng dẫn viết từng mục</w:t>
      </w:r>
    </w:p>
    <w:p>
      <w:pPr>
        <w:spacing w:after="140"/>
      </w:pPr>
      <w:r>
        <w:rPr>
          <w:sz w:val="21"/>
          <w:szCs w:val="21"/>
        </w:rPr>
        <w:t xml:space="preserve">Bảng dưới đây ánh xạ từng mục trong Roadmap với nguồn dữ liệu tương ứng và cách diễn đạt phù hợp.</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440"/>
      </w:tblGrid>
      <w:tr>
        <w:tc>
          <w:tcPr>
            <w:tcW w:type="dxa" w:w="2600"/>
            <w:tcBorders>
              <w:top w:val="single" w:color="CCCCCC" w:sz="4"/>
              <w:left w:val="single" w:color="CCCCCC" w:sz="4"/>
              <w:bottom w:val="single" w:color="CCCCCC" w:sz="4"/>
              <w:right w:val="single" w:color="CCCCCC" w:sz="4"/>
            </w:tcBorders>
            <w:shd w:fill="E8E8E8" w:val="clear"/>
            <w:tcMar>
              <w:top w:type="dxa" w:w="80"/>
              <w:left w:type="dxa" w:w="100"/>
              <w:bottom w:type="dxa" w:w="80"/>
              <w:right w:type="dxa" w:w="100"/>
            </w:tcMar>
          </w:tcPr>
          <w:p>
            <w:r>
              <w:rPr>
                <w:b/>
                <w:bCs/>
                <w:sz w:val="20"/>
                <w:szCs w:val="20"/>
              </w:rPr>
              <w:t xml:space="preserve">Mục trong Roadmap</w:t>
            </w:r>
          </w:p>
        </w:tc>
        <w:tc>
          <w:tcPr>
            <w:tcW w:type="dxa" w:w="3200"/>
            <w:tcBorders>
              <w:top w:val="single" w:color="CCCCCC" w:sz="4"/>
              <w:left w:val="single" w:color="CCCCCC" w:sz="4"/>
              <w:bottom w:val="single" w:color="CCCCCC" w:sz="4"/>
              <w:right w:val="single" w:color="CCCCCC" w:sz="4"/>
            </w:tcBorders>
            <w:shd w:fill="E8E8E8" w:val="clear"/>
            <w:tcMar>
              <w:top w:type="dxa" w:w="80"/>
              <w:left w:type="dxa" w:w="100"/>
              <w:bottom w:type="dxa" w:w="80"/>
              <w:right w:type="dxa" w:w="100"/>
            </w:tcMar>
          </w:tcPr>
          <w:p>
            <w:r>
              <w:rPr>
                <w:b/>
                <w:bCs/>
                <w:sz w:val="20"/>
                <w:szCs w:val="20"/>
              </w:rPr>
              <w:t xml:space="preserve">Lấy dữ liệu từ đâu</w:t>
            </w:r>
          </w:p>
        </w:tc>
        <w:tc>
          <w:tcPr>
            <w:tcW w:type="dxa" w:w="3440"/>
            <w:tcBorders>
              <w:top w:val="single" w:color="CCCCCC" w:sz="4"/>
              <w:left w:val="single" w:color="CCCCCC" w:sz="4"/>
              <w:bottom w:val="single" w:color="CCCCCC" w:sz="4"/>
              <w:right w:val="single" w:color="CCCCCC" w:sz="4"/>
            </w:tcBorders>
            <w:shd w:fill="E8E8E8" w:val="clear"/>
            <w:tcMar>
              <w:top w:type="dxa" w:w="80"/>
              <w:left w:type="dxa" w:w="100"/>
              <w:bottom w:type="dxa" w:w="80"/>
              <w:right w:type="dxa" w:w="100"/>
            </w:tcMar>
          </w:tcPr>
          <w:p>
            <w:r>
              <w:rPr>
                <w:b/>
                <w:bCs/>
                <w:sz w:val="20"/>
                <w:szCs w:val="20"/>
              </w:rPr>
              <w:t xml:space="preserve">Cách viết</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Mục tiêu 30 ngày</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Golden Question + Top 3 ưu tiên (Executive Report)</w:t>
            </w:r>
          </w:p>
        </w:tc>
        <w:tc>
          <w:tcPr>
            <w:tcW w:type="dxa" w:w="344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1-2 câu cụ thể: sau 30 ngày điều gì sẽ khác, có con số</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Ba ưu tiên</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Top 3 ưu tiên đã thống nhất với khách</w:t>
            </w:r>
          </w:p>
        </w:tc>
        <w:tc>
          <w:tcPr>
            <w:tcW w:type="dxa" w:w="344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Giữ đúng thứ tự đã chốt, thêm chỉ số đo lường cho từng ưu tiên</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Chi tiết theo tuần</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30-Day Action Plan (Phần K Canvas) + Kick-off</w:t>
            </w:r>
          </w:p>
        </w:tc>
        <w:tc>
          <w:tcPr>
            <w:tcW w:type="dxa" w:w="344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Mỗi việc: 1 hành động cụ thể, 1 tên phụ trách, 1 kết quả kiểm tra được</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Vai trò &amp; trách nhiệm</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Quan sát trong buổi khảo sát + xác nhận tại Kick-off</w:t>
            </w:r>
          </w:p>
        </w:tc>
        <w:tc>
          <w:tcPr>
            <w:tcW w:type="dxa" w:w="344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Phân tách rõ ai quyết định, ai thực thi — tránh mơ hồ giữa hai bên</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Điểm kiểm tra</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Mức độ sẵn sàng triển khai (Phần M Canvas)</w:t>
            </w:r>
          </w:p>
        </w:tc>
        <w:tc>
          <w:tcPr>
            <w:tcW w:type="dxa" w:w="344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Sẵn sàng Thấp → checkpoint hàng tuần; Cao → 2 tuần/lần là đủ</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Rủi ro cần lưu ý</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Phần 7 Consultant Summary</w:t>
            </w:r>
          </w:p>
        </w:tc>
        <w:tc>
          <w:tcPr>
            <w:tcW w:type="dxa" w:w="344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Nêu rủi ro thật đã quan sát được, kèm cách giảm thiểu nếu có</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Chỉ số thành công</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Success Metrics (Phần L Canvas)</w:t>
            </w:r>
          </w:p>
        </w:tc>
        <w:tc>
          <w:tcPr>
            <w:tcW w:type="dxa" w:w="344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Phải khớp với con số đã nêu trong Executive Report, không đổi giữa chừng</w:t>
            </w:r>
          </w:p>
        </w:tc>
      </w:tr>
    </w:tbl>
    <w:p>
      <w:pPr>
        <w:spacing w:after="160"/>
      </w:pPr>
    </w:p>
    <w:p>
      <w:pPr>
        <w:spacing w:after="100" w:before="220"/>
      </w:pPr>
      <w:r>
        <w:rPr>
          <w:b/>
          <w:bCs/>
          <w:color w:val="1F3864"/>
          <w:sz w:val="22"/>
          <w:szCs w:val="22"/>
        </w:rPr>
        <w:t xml:space="preserve">Ví dụ chuyển đổi từ kế hoạch mơ hồ sang việc theo dõi được</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CCCCCC" w:sz="4"/>
              <w:left w:val="single" w:color="CCCCCC" w:sz="4"/>
              <w:bottom w:val="single" w:color="CCCCCC" w:sz="4"/>
              <w:right w:val="single" w:color="CCCCCC" w:sz="4"/>
            </w:tcBorders>
            <w:shd w:fill="FCEEEA" w:val="clear"/>
            <w:tcMar>
              <w:top w:type="dxa" w:w="100"/>
              <w:left w:type="dxa" w:w="120"/>
              <w:bottom w:type="dxa" w:w="100"/>
              <w:right w:type="dxa" w:w="120"/>
            </w:tcMar>
          </w:tcPr>
          <w:p>
            <w:pPr>
              <w:spacing w:after="40"/>
            </w:pPr>
            <w:r>
              <w:rPr>
                <w:b/>
                <w:bCs/>
                <w:color w:val="8C3A2A"/>
                <w:sz w:val="19"/>
                <w:szCs w:val="19"/>
              </w:rPr>
              <w:t xml:space="preserve">❌ Tránh viết</w:t>
            </w:r>
          </w:p>
          <w:p>
            <w:r>
              <w:rPr>
                <w:i/>
                <w:iCs/>
                <w:sz w:val="19"/>
                <w:szCs w:val="19"/>
              </w:rPr>
              <w:t xml:space="preserve">Tuần 1: Chuẩn hóa quy trình sales.</w:t>
            </w:r>
          </w:p>
        </w:tc>
        <w:tc>
          <w:tcPr>
            <w:tcW w:type="dxa" w:w="4620"/>
            <w:tcBorders>
              <w:top w:val="single" w:color="CCCCCC" w:sz="4"/>
              <w:left w:val="single" w:color="CCCCCC" w:sz="4"/>
              <w:bottom w:val="single" w:color="CCCCCC" w:sz="4"/>
              <w:right w:val="single" w:color="CCCCCC" w:sz="4"/>
            </w:tcBorders>
            <w:shd w:fill="EAF3EA" w:val="clear"/>
            <w:tcMar>
              <w:top w:type="dxa" w:w="100"/>
              <w:left w:type="dxa" w:w="120"/>
              <w:bottom w:type="dxa" w:w="100"/>
              <w:right w:type="dxa" w:w="120"/>
            </w:tcMar>
          </w:tcPr>
          <w:p>
            <w:pPr>
              <w:spacing w:after="40"/>
            </w:pPr>
            <w:r>
              <w:rPr>
                <w:b/>
                <w:bCs/>
                <w:color w:val="2F5D2E"/>
                <w:sz w:val="19"/>
                <w:szCs w:val="19"/>
              </w:rPr>
              <w:t xml:space="preserve">✅ Nên viết</w:t>
            </w:r>
          </w:p>
          <w:p>
            <w:r>
              <w:rPr>
                <w:i/>
                <w:iCs/>
                <w:sz w:val="19"/>
                <w:szCs w:val="19"/>
              </w:rPr>
              <w:t xml:space="preserve">Tuần 1 — Xây dựng kịch bản gọi điện chuẩn cho Sales. Người phụ trách: Chị Lan (Trưởng phòng Sales). Kết quả: 01 kịch bản hoàn chỉnh, CEO duyệt trước thứ Sáu.</w:t>
            </w:r>
          </w:p>
        </w:tc>
      </w:tr>
    </w:tbl>
    <w:p>
      <w:pPr>
        <w:spacing w:after="12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CCCCCC" w:sz="4"/>
              <w:left w:val="single" w:color="CCCCCC" w:sz="4"/>
              <w:bottom w:val="single" w:color="CCCCCC" w:sz="4"/>
              <w:right w:val="single" w:color="CCCCCC" w:sz="4"/>
            </w:tcBorders>
            <w:shd w:fill="FCEEEA" w:val="clear"/>
            <w:tcMar>
              <w:top w:type="dxa" w:w="100"/>
              <w:left w:type="dxa" w:w="120"/>
              <w:bottom w:type="dxa" w:w="100"/>
              <w:right w:type="dxa" w:w="120"/>
            </w:tcMar>
          </w:tcPr>
          <w:p>
            <w:pPr>
              <w:spacing w:after="40"/>
            </w:pPr>
            <w:r>
              <w:rPr>
                <w:b/>
                <w:bCs/>
                <w:color w:val="8C3A2A"/>
                <w:sz w:val="19"/>
                <w:szCs w:val="19"/>
              </w:rPr>
              <w:t xml:space="preserve">❌ Tránh viết</w:t>
            </w:r>
          </w:p>
          <w:p>
            <w:r>
              <w:rPr>
                <w:i/>
                <w:iCs/>
                <w:sz w:val="19"/>
                <w:szCs w:val="19"/>
              </w:rPr>
              <w:t xml:space="preserve">Tuần 3: Cải thiện hiệu quả nhập liệu.</w:t>
            </w:r>
          </w:p>
        </w:tc>
        <w:tc>
          <w:tcPr>
            <w:tcW w:type="dxa" w:w="4620"/>
            <w:tcBorders>
              <w:top w:val="single" w:color="CCCCCC" w:sz="4"/>
              <w:left w:val="single" w:color="CCCCCC" w:sz="4"/>
              <w:bottom w:val="single" w:color="CCCCCC" w:sz="4"/>
              <w:right w:val="single" w:color="CCCCCC" w:sz="4"/>
            </w:tcBorders>
            <w:shd w:fill="EAF3EA" w:val="clear"/>
            <w:tcMar>
              <w:top w:type="dxa" w:w="100"/>
              <w:left w:type="dxa" w:w="120"/>
              <w:bottom w:type="dxa" w:w="100"/>
              <w:right w:type="dxa" w:w="120"/>
            </w:tcMar>
          </w:tcPr>
          <w:p>
            <w:pPr>
              <w:spacing w:after="40"/>
            </w:pPr>
            <w:r>
              <w:rPr>
                <w:b/>
                <w:bCs/>
                <w:color w:val="2F5D2E"/>
                <w:sz w:val="19"/>
                <w:szCs w:val="19"/>
              </w:rPr>
              <w:t xml:space="preserve">✅ Nên viết</w:t>
            </w:r>
          </w:p>
          <w:p>
            <w:r>
              <w:rPr>
                <w:i/>
                <w:iCs/>
                <w:sz w:val="19"/>
                <w:szCs w:val="19"/>
              </w:rPr>
              <w:t xml:space="preserve">Tuần 3 — Triển khai mẫu nhập liệu tự động cho báo cáo ngày. Người phụ trách: Anh Minh (IT). Kết quả: thời gian nhập liệu giảm từ 30 phút xuống 10 phút/ngày.</w:t>
            </w:r>
          </w:p>
        </w:tc>
      </w:tr>
    </w:tbl>
    <w:p>
      <w:r>
        <w:br w:type="page"/>
      </w:r>
    </w:p>
    <w:p>
      <w:pPr>
        <w:spacing w:after="60"/>
      </w:pPr>
      <w:r>
        <w:rPr>
          <w:b/>
          <w:bCs/>
          <w:color w:val="B08D57"/>
          <w:sz w:val="20"/>
          <w:szCs w:val="20"/>
        </w:rPr>
        <w:t xml:space="preserve">PHẦN 4</w:t>
      </w:r>
    </w:p>
    <w:p>
      <w:pPr>
        <w:pBdr>
          <w:bottom w:val="single" w:color="1F3864" w:sz="8"/>
        </w:pBdr>
        <w:spacing w:after="200"/>
      </w:pPr>
      <w:r>
        <w:rPr>
          <w:b/>
          <w:bCs/>
          <w:color w:val="1F3864"/>
          <w:sz w:val="40"/>
          <w:szCs w:val="40"/>
        </w:rPr>
        <w:t xml:space="preserve">Nguyên tắc viết chung</w:t>
      </w:r>
    </w:p>
    <w:p>
      <w:pPr>
        <w:pStyle w:val="ListParagraph"/>
        <w:numPr>
          <w:ilvl w:val="0"/>
          <w:numId w:val="1"/>
        </w:numPr>
        <w:spacing w:after="60"/>
      </w:pPr>
      <w:r>
        <w:rPr>
          <w:sz w:val="21"/>
          <w:szCs w:val="21"/>
        </w:rPr>
        <w:t xml:space="preserve">Roadmap là tài liệu sống. Cả hai bên cùng cập nhật cột “Trạng thái” theo từng tuần, không phải văn bản gửi một lần rồi cất đi.</w:t>
      </w:r>
    </w:p>
    <w:p>
      <w:pPr>
        <w:pStyle w:val="ListParagraph"/>
        <w:numPr>
          <w:ilvl w:val="0"/>
          <w:numId w:val="1"/>
        </w:numPr>
        <w:spacing w:after="60"/>
      </w:pPr>
      <w:r>
        <w:rPr>
          <w:sz w:val="21"/>
          <w:szCs w:val="21"/>
        </w:rPr>
        <w:t xml:space="preserve">Luôn có tên cụ thể. Mọi đầu việc phải có một người chịu trách nhiệm rõ ràng, không dùng “team” hay “bộ phận liên quan”.</w:t>
      </w:r>
    </w:p>
    <w:p>
      <w:pPr>
        <w:pStyle w:val="ListParagraph"/>
        <w:numPr>
          <w:ilvl w:val="0"/>
          <w:numId w:val="1"/>
        </w:numPr>
        <w:spacing w:after="60"/>
      </w:pPr>
      <w:r>
        <w:rPr>
          <w:sz w:val="21"/>
          <w:szCs w:val="21"/>
        </w:rPr>
        <w:t xml:space="preserve">Mỗi tuần tối đa 2-3 việc quan trọng. Roadmap dàn trải 6-7 đầu việc/tuần thường không được thực hiện hết — hãy chọn lọc.</w:t>
      </w:r>
    </w:p>
    <w:p>
      <w:pPr>
        <w:pStyle w:val="ListParagraph"/>
        <w:numPr>
          <w:ilvl w:val="0"/>
          <w:numId w:val="1"/>
        </w:numPr>
        <w:spacing w:after="60"/>
      </w:pPr>
      <w:r>
        <w:rPr>
          <w:sz w:val="21"/>
          <w:szCs w:val="21"/>
        </w:rPr>
        <w:t xml:space="preserve">Dùng động từ hành động ở đầu câu. “Xây dựng”, “Hoàn thành”, “Gửi” — không dùng “Cải thiện”, “Tối ưu” mà không rõ việc làm cụ thể.</w:t>
      </w:r>
    </w:p>
    <w:p>
      <w:pPr>
        <w:pStyle w:val="ListParagraph"/>
        <w:numPr>
          <w:ilvl w:val="0"/>
          <w:numId w:val="1"/>
        </w:numPr>
        <w:spacing w:after="60"/>
      </w:pPr>
      <w:r>
        <w:rPr>
          <w:sz w:val="21"/>
          <w:szCs w:val="21"/>
        </w:rPr>
        <w:t xml:space="preserve">Chỉ số đầu và cuối phải khớp. Giá trị ở Ngày 0 và mục tiêu Ngày 30 phải nhất quán với Executive Report đã gửi khách trước đó.</w:t>
      </w:r>
    </w:p>
    <w:p>
      <w:r>
        <w:br w:type="page"/>
      </w:r>
    </w:p>
    <w:p>
      <w:pPr>
        <w:spacing w:after="60"/>
      </w:pPr>
      <w:r>
        <w:rPr>
          <w:b/>
          <w:bCs/>
          <w:color w:val="B08D57"/>
          <w:sz w:val="20"/>
          <w:szCs w:val="20"/>
        </w:rPr>
        <w:t xml:space="preserve">PHẦN 5</w:t>
      </w:r>
    </w:p>
    <w:p>
      <w:pPr>
        <w:pBdr>
          <w:bottom w:val="single" w:color="1F3864" w:sz="8"/>
        </w:pBdr>
        <w:spacing w:after="200"/>
      </w:pPr>
      <w:r>
        <w:rPr>
          <w:b/>
          <w:bCs/>
          <w:color w:val="1F3864"/>
          <w:sz w:val="40"/>
          <w:szCs w:val="40"/>
        </w:rPr>
        <w:t xml:space="preserve">Tự kiểm tra trước khi gửi</w:t>
      </w:r>
    </w:p>
    <w:p>
      <w:pPr>
        <w:spacing w:after="90"/>
      </w:pPr>
      <w:r>
        <w:rPr>
          <w:sz w:val="21"/>
          <w:szCs w:val="21"/>
        </w:rPr>
        <w:t xml:space="preserve">☐ Mọi ô “Người phụ trách” đều có tên cụ thể, không còn ô trống</w:t>
      </w:r>
    </w:p>
    <w:p>
      <w:pPr>
        <w:spacing w:after="90"/>
      </w:pPr>
      <w:r>
        <w:rPr>
          <w:sz w:val="21"/>
          <w:szCs w:val="21"/>
        </w:rPr>
        <w:t xml:space="preserve">☐ Ba ưu tiên trong Roadmap khớp với Top 3 ưu tiên trong Executive Report đã gửi khách</w:t>
      </w:r>
    </w:p>
    <w:p>
      <w:pPr>
        <w:spacing w:after="90"/>
      </w:pPr>
      <w:r>
        <w:rPr>
          <w:sz w:val="21"/>
          <w:szCs w:val="21"/>
        </w:rPr>
        <w:t xml:space="preserve">☐ Mỗi tuần chỉ có tối đa 2-3 đầu việc quan trọng, không dàn trải</w:t>
      </w:r>
    </w:p>
    <w:p>
      <w:pPr>
        <w:spacing w:after="90"/>
      </w:pPr>
      <w:r>
        <w:rPr>
          <w:sz w:val="21"/>
          <w:szCs w:val="21"/>
        </w:rPr>
        <w:t xml:space="preserve">☐ Chỉ số Ngày 0 khớp với Success Metrics đã nêu trong Executive Report</w:t>
      </w:r>
    </w:p>
    <w:p>
      <w:pPr>
        <w:spacing w:after="90"/>
      </w:pPr>
      <w:r>
        <w:rPr>
          <w:sz w:val="21"/>
          <w:szCs w:val="21"/>
        </w:rPr>
        <w:t xml:space="preserve">☐ Đã thống nhất tần suất checkpoint phù hợp với mức độ sẵn sàng của khách</w:t>
      </w:r>
    </w:p>
    <w:p>
      <w:pPr>
        <w:spacing w:after="90"/>
      </w:pPr>
      <w:r>
        <w:rPr>
          <w:sz w:val="21"/>
          <w:szCs w:val="21"/>
        </w:rPr>
        <w:t xml:space="preserve">☐ Ngày bắt đầu và Ngày 30 đã ghi rõ, không còn để “TBD”</w:t>
      </w:r>
    </w:p>
    <w:p>
      <w:pPr>
        <w:spacing w:after="90"/>
      </w:pPr>
      <w:r>
        <w:rPr>
          <w:sz w:val="21"/>
          <w:szCs w:val="21"/>
        </w:rPr>
        <w:t xml:space="preserve">☐ Rủi ro nêu ra là quan sát thật, không phải liệt kê cho đủ mục</w:t>
      </w:r>
    </w:p>
    <w:p>
      <w:pPr>
        <w:spacing w:after="90"/>
      </w:pPr>
      <w:r>
        <w:rPr>
          <w:sz w:val="21"/>
          <w:szCs w:val="21"/>
        </w:rPr>
        <w:t xml:space="preserve">☐ Đọc thử toàn bộ trong 5 phút — Roadmap phải dễ theo dõi như một checklist công việc</w:t>
      </w:r>
    </w:p>
    <w:p>
      <w:pPr>
        <w:spacing w:after="8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4C8C4A" w:sz="4"/>
              <w:left w:val="single" w:color="4C8C4A" w:sz="24"/>
              <w:bottom w:val="single" w:color="4C8C4A" w:sz="4"/>
              <w:right w:val="single" w:color="4C8C4A" w:sz="4"/>
            </w:tcBorders>
            <w:shd w:fill="EAF3EA" w:val="clear"/>
            <w:tcMar>
              <w:top w:type="dxa" w:w="140"/>
              <w:left w:type="dxa" w:w="200"/>
              <w:bottom w:type="dxa" w:w="140"/>
              <w:right w:type="dxa" w:w="200"/>
            </w:tcMar>
          </w:tcPr>
          <w:p>
            <w:pPr>
              <w:spacing w:after="60"/>
            </w:pPr>
            <w:r>
              <w:rPr>
                <w:b/>
                <w:bCs/>
                <w:color w:val="1F3864"/>
                <w:sz w:val="20"/>
                <w:szCs w:val="20"/>
              </w:rPr>
              <w:t xml:space="preserve">💡 MẸO</w:t>
            </w:r>
          </w:p>
          <w:p>
            <w:r>
              <w:rPr>
                <w:sz w:val="20"/>
                <w:szCs w:val="20"/>
              </w:rPr>
              <w:t xml:space="preserve">Sau buổi Kick-off, gửi Roadmap cho khách trong vòng 24h trong khi các mốc thời gian và tên người phụ trách còn tươi mới trong trí nhớ của cả hai bên.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Trang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THUCHOCVN · Hướng dẫn soạn 30-Day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2026-07-05T08:03:38.042Z</dcterms:created>
  <dcterms:modified xsi:type="dcterms:W3CDTF">2026-07-05T08:03:38.059Z</dcterms:modified>
</cp:coreProperties>
</file>

<file path=docProps/custom.xml><?xml version="1.0" encoding="utf-8"?>
<Properties xmlns="http://schemas.openxmlformats.org/officeDocument/2006/custom-properties" xmlns:vt="http://schemas.openxmlformats.org/officeDocument/2006/docPropsVTypes"/>
</file>