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878"/>
          <w:sz w:val="56"/>
        </w:rPr>
        <w:t>THUCHOCVN</w:t>
        <w:br/>
      </w:r>
    </w:p>
    <w:p>
      <w:pPr>
        <w:jc w:val="center"/>
      </w:pPr>
      <w:r>
        <w:rPr>
          <w:b/>
          <w:sz w:val="44"/>
        </w:rPr>
        <w:t>BỘ KHẢO SÁT &amp; TIÊU CHÍ ĐÁNH GIÁ</w:t>
        <w:br/>
        <w:t>AI READINESS &amp; WORKFLOW DOANH NGHIỆP</w:t>
      </w:r>
    </w:p>
    <w:p>
      <w:pPr>
        <w:jc w:val="center"/>
      </w:pPr>
      <w:r>
        <w:rPr>
          <w:i/>
          <w:sz w:val="28"/>
        </w:rPr>
        <w:br/>
        <w:t>Phiên bản 1.0</w:t>
        <w:br/>
        <w:t>Học thật • Làm thật • Giá trị thật</w:t>
      </w:r>
    </w:p>
    <w:p>
      <w:r>
        <w:br w:type="page"/>
      </w:r>
    </w:p>
    <w:p>
      <w:pPr>
        <w:pStyle w:val="Heading1"/>
      </w:pPr>
      <w:r>
        <w:rPr>
          <w:b/>
          <w:color w:val="142878"/>
        </w:rPr>
        <w:t>1. GIỚI THIỆU CHUNG</w:t>
      </w:r>
    </w:p>
    <w:p>
      <w:r>
        <w:t>Bộ khảo sát THUCHOCVN AI Readiness &amp; Workflow được xây dựng nhằm đánh giá mức độ trưởng thành vận hành, khả năng số hóa và mức độ sẵn sàng ứng dụng AI của doanh nghiệp.</w:t>
      </w:r>
    </w:p>
    <w:p>
      <w:pPr>
        <w:pStyle w:val="Heading1"/>
      </w:pPr>
      <w:r>
        <w:rPr>
          <w:b/>
          <w:color w:val="142878"/>
        </w:rPr>
        <w:t>2. CẤU TRÚC ĐÁNH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Trọng số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Quy trình &amp; vận hành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Bán hàng &amp; khách hàng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Nhân sự &amp; đào tạo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Dữ liệu &amp; hệ thống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AI Readiness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</w:tbl>
    <w:p>
      <w:pPr>
        <w:pStyle w:val="Heading1"/>
      </w:pPr>
      <w:r>
        <w:rPr>
          <w:b/>
          <w:color w:val="142878"/>
        </w:rPr>
        <w:t>3. QUY TẮC CHẤM ĐIỂM</w:t>
      </w:r>
    </w:p>
    <w:p>
      <w:r>
        <w:t>Mỗi câu hỏi khảo sát được xem là một tiêu chí đánh giá. Tùy vào câu trả lời, hệ thống sẽ cộng hoặc trừ điểm tương ứng.</w:t>
      </w:r>
    </w:p>
    <w:p>
      <w:pPr>
        <w:pStyle w:val="Heading2"/>
      </w:pPr>
      <w:r>
        <w:rPr>
          <w:b/>
          <w:color w:val="142878"/>
        </w:rPr>
        <w:t>WORKFLOW &amp; VẬN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</w:tr>
      <w:tr>
        <w:tc>
          <w:tcPr>
            <w:tcW w:type="dxa" w:w="2880"/>
          </w:tcPr>
          <w:p>
            <w:r>
              <w:t>WF-01</w:t>
            </w:r>
          </w:p>
        </w:tc>
        <w:tc>
          <w:tcPr>
            <w:tcW w:type="dxa" w:w="2880"/>
          </w:tcPr>
          <w:p>
            <w:r>
              <w:t>Có SOP</w:t>
            </w:r>
          </w:p>
        </w:tc>
        <w:tc>
          <w:tcPr>
            <w:tcW w:type="dxa" w:w="2880"/>
          </w:tcPr>
          <w:p>
            <w:r>
              <w:t>+15</w:t>
            </w:r>
          </w:p>
        </w:tc>
      </w:tr>
      <w:tr>
        <w:tc>
          <w:tcPr>
            <w:tcW w:type="dxa" w:w="2880"/>
          </w:tcPr>
          <w:p>
            <w:r>
              <w:t>WF-02</w:t>
            </w:r>
          </w:p>
        </w:tc>
        <w:tc>
          <w:tcPr>
            <w:tcW w:type="dxa" w:w="2880"/>
          </w:tcPr>
          <w:p>
            <w:r>
              <w:t>Có workflow rõ ràng</w:t>
            </w:r>
          </w:p>
        </w:tc>
        <w:tc>
          <w:tcPr>
            <w:tcW w:type="dxa" w:w="2880"/>
          </w:tcPr>
          <w:p>
            <w:r>
              <w:t>+15</w:t>
            </w:r>
          </w:p>
        </w:tc>
      </w:tr>
      <w:tr>
        <w:tc>
          <w:tcPr>
            <w:tcW w:type="dxa" w:w="2880"/>
          </w:tcPr>
          <w:p>
            <w:r>
              <w:t>WF-03</w:t>
            </w:r>
          </w:p>
        </w:tc>
        <w:tc>
          <w:tcPr>
            <w:tcW w:type="dxa" w:w="2880"/>
          </w:tcPr>
          <w:p>
            <w:r>
              <w:t>Có dashboard quản lý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WF-04</w:t>
            </w:r>
          </w:p>
        </w:tc>
        <w:tc>
          <w:tcPr>
            <w:tcW w:type="dxa" w:w="2880"/>
          </w:tcPr>
          <w:p>
            <w:r>
              <w:t>CEO khó kiểm soát</w:t>
            </w:r>
          </w:p>
        </w:tc>
        <w:tc>
          <w:tcPr>
            <w:tcW w:type="dxa" w:w="2880"/>
          </w:tcPr>
          <w:p>
            <w:r>
              <w:t>-15</w:t>
            </w:r>
          </w:p>
        </w:tc>
      </w:tr>
    </w:tbl>
    <w:p/>
    <w:p>
      <w:pPr>
        <w:pStyle w:val="Heading2"/>
      </w:pPr>
      <w:r>
        <w:rPr>
          <w:b/>
          <w:color w:val="142878"/>
        </w:rPr>
        <w:t>SALES &amp; KHÁCH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</w:tr>
      <w:tr>
        <w:tc>
          <w:tcPr>
            <w:tcW w:type="dxa" w:w="2880"/>
          </w:tcPr>
          <w:p>
            <w:r>
              <w:t>SL-01</w:t>
            </w:r>
          </w:p>
        </w:tc>
        <w:tc>
          <w:tcPr>
            <w:tcW w:type="dxa" w:w="2880"/>
          </w:tcPr>
          <w:p>
            <w:r>
              <w:t>Có CRM</w:t>
            </w:r>
          </w:p>
        </w:tc>
        <w:tc>
          <w:tcPr>
            <w:tcW w:type="dxa" w:w="2880"/>
          </w:tcPr>
          <w:p>
            <w:r>
              <w:t>+20</w:t>
            </w:r>
          </w:p>
        </w:tc>
      </w:tr>
      <w:tr>
        <w:tc>
          <w:tcPr>
            <w:tcW w:type="dxa" w:w="2880"/>
          </w:tcPr>
          <w:p>
            <w:r>
              <w:t>SL-02</w:t>
            </w:r>
          </w:p>
        </w:tc>
        <w:tc>
          <w:tcPr>
            <w:tcW w:type="dxa" w:w="2880"/>
          </w:tcPr>
          <w:p>
            <w:r>
              <w:t>Có KPI sales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SL-03</w:t>
            </w:r>
          </w:p>
        </w:tc>
        <w:tc>
          <w:tcPr>
            <w:tcW w:type="dxa" w:w="2880"/>
          </w:tcPr>
          <w:p>
            <w:r>
              <w:t>Lead bị bỏ quên</w:t>
            </w:r>
          </w:p>
        </w:tc>
        <w:tc>
          <w:tcPr>
            <w:tcW w:type="dxa" w:w="2880"/>
          </w:tcPr>
          <w:p>
            <w:r>
              <w:t>-18</w:t>
            </w:r>
          </w:p>
        </w:tc>
      </w:tr>
    </w:tbl>
    <w:p/>
    <w:p>
      <w:pPr>
        <w:pStyle w:val="Heading2"/>
      </w:pPr>
      <w:r>
        <w:rPr>
          <w:b/>
          <w:color w:val="142878"/>
        </w:rPr>
        <w:t>NHÂN SỰ &amp; ĐÀO TẠO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</w:tr>
      <w:tr>
        <w:tc>
          <w:tcPr>
            <w:tcW w:type="dxa" w:w="2880"/>
          </w:tcPr>
          <w:p>
            <w:r>
              <w:t>HR-01</w:t>
            </w:r>
          </w:p>
        </w:tc>
        <w:tc>
          <w:tcPr>
            <w:tcW w:type="dxa" w:w="2880"/>
          </w:tcPr>
          <w:p>
            <w:r>
              <w:t>Có onboarding</w:t>
            </w:r>
          </w:p>
        </w:tc>
        <w:tc>
          <w:tcPr>
            <w:tcW w:type="dxa" w:w="2880"/>
          </w:tcPr>
          <w:p>
            <w:r>
              <w:t>+15</w:t>
            </w:r>
          </w:p>
        </w:tc>
      </w:tr>
      <w:tr>
        <w:tc>
          <w:tcPr>
            <w:tcW w:type="dxa" w:w="2880"/>
          </w:tcPr>
          <w:p>
            <w:r>
              <w:t>HR-02</w:t>
            </w:r>
          </w:p>
        </w:tc>
        <w:tc>
          <w:tcPr>
            <w:tcW w:type="dxa" w:w="2880"/>
          </w:tcPr>
          <w:p>
            <w:r>
              <w:t>Nhân sự mới khó bắt việc</w:t>
            </w:r>
          </w:p>
        </w:tc>
        <w:tc>
          <w:tcPr>
            <w:tcW w:type="dxa" w:w="2880"/>
          </w:tcPr>
          <w:p>
            <w:r>
              <w:t>-15</w:t>
            </w:r>
          </w:p>
        </w:tc>
      </w:tr>
    </w:tbl>
    <w:p/>
    <w:p>
      <w:pPr>
        <w:pStyle w:val="Heading2"/>
      </w:pPr>
      <w:r>
        <w:rPr>
          <w:b/>
          <w:color w:val="142878"/>
        </w:rPr>
        <w:t>DỮ LIỆU &amp;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</w:tr>
      <w:tr>
        <w:tc>
          <w:tcPr>
            <w:tcW w:type="dxa" w:w="2880"/>
          </w:tcPr>
          <w:p>
            <w:r>
              <w:t>DT-01</w:t>
            </w:r>
          </w:p>
        </w:tc>
        <w:tc>
          <w:tcPr>
            <w:tcW w:type="dxa" w:w="2880"/>
          </w:tcPr>
          <w:p>
            <w:r>
              <w:t>Dữ liệu tập trung</w:t>
            </w:r>
          </w:p>
        </w:tc>
        <w:tc>
          <w:tcPr>
            <w:tcW w:type="dxa" w:w="2880"/>
          </w:tcPr>
          <w:p>
            <w:r>
              <w:t>+20</w:t>
            </w:r>
          </w:p>
        </w:tc>
      </w:tr>
      <w:tr>
        <w:tc>
          <w:tcPr>
            <w:tcW w:type="dxa" w:w="2880"/>
          </w:tcPr>
          <w:p>
            <w:r>
              <w:t>DT-02</w:t>
            </w:r>
          </w:p>
        </w:tc>
        <w:tc>
          <w:tcPr>
            <w:tcW w:type="dxa" w:w="2880"/>
          </w:tcPr>
          <w:p>
            <w:r>
              <w:t>Dữ liệu phân tán</w:t>
            </w:r>
          </w:p>
        </w:tc>
        <w:tc>
          <w:tcPr>
            <w:tcW w:type="dxa" w:w="2880"/>
          </w:tcPr>
          <w:p>
            <w:r>
              <w:t>-20</w:t>
            </w:r>
          </w:p>
        </w:tc>
      </w:tr>
    </w:tbl>
    <w:p/>
    <w:p>
      <w:pPr>
        <w:pStyle w:val="Heading2"/>
      </w:pPr>
      <w:r>
        <w:rPr>
          <w:b/>
          <w:color w:val="142878"/>
        </w:rPr>
        <w:t>AI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</w:tr>
      <w:tr>
        <w:tc>
          <w:tcPr>
            <w:tcW w:type="dxa" w:w="2880"/>
          </w:tcPr>
          <w:p>
            <w:r>
              <w:t>AI-01</w:t>
            </w:r>
          </w:p>
        </w:tc>
        <w:tc>
          <w:tcPr>
            <w:tcW w:type="dxa" w:w="2880"/>
          </w:tcPr>
          <w:p>
            <w:r>
              <w:t>Đã dùng AI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AI-02</w:t>
            </w:r>
          </w:p>
        </w:tc>
        <w:tc>
          <w:tcPr>
            <w:tcW w:type="dxa" w:w="2880"/>
          </w:tcPr>
          <w:p>
            <w:r>
              <w:t>Có AI use case</w:t>
            </w:r>
          </w:p>
        </w:tc>
        <w:tc>
          <w:tcPr>
            <w:tcW w:type="dxa" w:w="2880"/>
          </w:tcPr>
          <w:p>
            <w:r>
              <w:t>+15</w:t>
            </w:r>
          </w:p>
        </w:tc>
      </w:tr>
      <w:tr>
        <w:tc>
          <w:tcPr>
            <w:tcW w:type="dxa" w:w="2880"/>
          </w:tcPr>
          <w:p>
            <w:r>
              <w:t>AI-03</w:t>
            </w:r>
          </w:p>
        </w:tc>
        <w:tc>
          <w:tcPr>
            <w:tcW w:type="dxa" w:w="2880"/>
          </w:tcPr>
          <w:p>
            <w:r>
              <w:t>Không biết bắt đầu từ đâu</w:t>
            </w:r>
          </w:p>
        </w:tc>
        <w:tc>
          <w:tcPr>
            <w:tcW w:type="dxa" w:w="2880"/>
          </w:tcPr>
          <w:p>
            <w:r>
              <w:t>-12</w:t>
            </w:r>
          </w:p>
        </w:tc>
      </w:tr>
    </w:tbl>
    <w:p/>
    <w:p>
      <w:pPr>
        <w:pStyle w:val="Heading1"/>
      </w:pPr>
      <w:r>
        <w:rPr>
          <w:b/>
          <w:color w:val="142878"/>
        </w:rPr>
        <w:t>4. PHƯƠNG PHÁP TÍNH ĐIỂM</w:t>
      </w:r>
    </w:p>
    <w:p>
      <w:r>
        <w:t>Overall Score = Workflow × 0.25 + Sales × 0.20 + HR × 0.15 + Data × 0.20 + AI × 0.20</w:t>
      </w:r>
    </w:p>
    <w:p>
      <w:pPr>
        <w:pStyle w:val="Heading1"/>
      </w:pPr>
      <w:r>
        <w:rPr>
          <w:b/>
          <w:color w:val="142878"/>
        </w:rPr>
        <w:t>5. PHÂN HẠNG DOANH NGHIỆP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</w:tr>
      <w:tr>
        <w:tc>
          <w:tcPr>
            <w:tcW w:type="dxa" w:w="2880"/>
          </w:tcPr>
          <w:p>
            <w:r>
              <w:t>0 - 30</w:t>
            </w:r>
          </w:p>
        </w:tc>
        <w:tc>
          <w:tcPr>
            <w:tcW w:type="dxa" w:w="2880"/>
          </w:tcPr>
          <w:p>
            <w:r>
              <w:t>MANUAL_OPERATION</w:t>
            </w:r>
          </w:p>
        </w:tc>
        <w:tc>
          <w:tcPr>
            <w:tcW w:type="dxa" w:w="2880"/>
          </w:tcPr>
          <w:p>
            <w:r>
              <w:t>Vận hành thủ công</w:t>
            </w:r>
          </w:p>
        </w:tc>
      </w:tr>
      <w:tr>
        <w:tc>
          <w:tcPr>
            <w:tcW w:type="dxa" w:w="2880"/>
          </w:tcPr>
          <w:p>
            <w:r>
              <w:t>31 - 60</w:t>
            </w:r>
          </w:p>
        </w:tc>
        <w:tc>
          <w:tcPr>
            <w:tcW w:type="dxa" w:w="2880"/>
          </w:tcPr>
          <w:p>
            <w:r>
              <w:t>DIGITAL_FOUNDATION</w:t>
            </w:r>
          </w:p>
        </w:tc>
        <w:tc>
          <w:tcPr>
            <w:tcW w:type="dxa" w:w="2880"/>
          </w:tcPr>
          <w:p>
            <w:r>
              <w:t>Có nền tảng số cơ bản</w:t>
            </w:r>
          </w:p>
        </w:tc>
      </w:tr>
      <w:tr>
        <w:tc>
          <w:tcPr>
            <w:tcW w:type="dxa" w:w="2880"/>
          </w:tcPr>
          <w:p>
            <w:r>
              <w:t>61 - 80</w:t>
            </w:r>
          </w:p>
        </w:tc>
        <w:tc>
          <w:tcPr>
            <w:tcW w:type="dxa" w:w="2880"/>
          </w:tcPr>
          <w:p>
            <w:r>
              <w:t>AI_READY</w:t>
            </w:r>
          </w:p>
        </w:tc>
        <w:tc>
          <w:tcPr>
            <w:tcW w:type="dxa" w:w="2880"/>
          </w:tcPr>
          <w:p>
            <w:r>
              <w:t>Sẵn sàng ứng dụng AI</w:t>
            </w:r>
          </w:p>
        </w:tc>
      </w:tr>
      <w:tr>
        <w:tc>
          <w:tcPr>
            <w:tcW w:type="dxa" w:w="2880"/>
          </w:tcPr>
          <w:p>
            <w:r>
              <w:t>81 - 100</w:t>
            </w:r>
          </w:p>
        </w:tc>
        <w:tc>
          <w:tcPr>
            <w:tcW w:type="dxa" w:w="2880"/>
          </w:tcPr>
          <w:p>
            <w:r>
              <w:t>AI_TRANSFORMATION</w:t>
            </w:r>
          </w:p>
        </w:tc>
        <w:tc>
          <w:tcPr>
            <w:tcW w:type="dxa" w:w="2880"/>
          </w:tcPr>
          <w:p>
            <w:r>
              <w:t>Chuyển đổi AI toàn diện</w:t>
            </w:r>
          </w:p>
        </w:tc>
      </w:tr>
    </w:tbl>
    <w:p>
      <w:pPr>
        <w:pStyle w:val="Heading1"/>
      </w:pPr>
      <w:r>
        <w:rPr>
          <w:b/>
          <w:color w:val="142878"/>
        </w:rPr>
        <w:t>6. KẾT LUẬN</w:t>
      </w:r>
    </w:p>
    <w:p>
      <w:r>
        <w:t>Bộ tiêu chí THUCHOCVN AI Readiness là nền tảng đánh giá và tư vấn chuyển đổi số &amp; AI cho doanh nghiệp.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