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ydbed3gjf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📊 WORKSHEET ANALISIS LAPORAN KEUANGAN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Perusahaan:</w:t>
      </w:r>
      <w:r w:rsidDel="00000000" w:rsidR="00000000" w:rsidRPr="00000000">
        <w:rPr>
          <w:rtl w:val="0"/>
        </w:rPr>
        <w:t xml:space="preserve"> PT Unilever Indonesia Tbk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Tahun:</w:t>
      </w:r>
      <w:r w:rsidDel="00000000" w:rsidR="00000000" w:rsidRPr="00000000">
        <w:rPr>
          <w:rtl w:val="0"/>
        </w:rPr>
        <w:t xml:space="preserve"> 2022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Sumber:</w:t>
      </w:r>
      <w:r w:rsidDel="00000000" w:rsidR="00000000" w:rsidRPr="00000000">
        <w:rPr>
          <w:rtl w:val="0"/>
        </w:rPr>
        <w:t xml:space="preserve"> Laporan Tahunan 2022 Unilever Indonesia (IDX)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9t4i8ynza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Kelengkapan Komponen Laporan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7.0956417072075"/>
        <w:gridCol w:w="1140.1655047896083"/>
        <w:gridCol w:w="4158.250664526807"/>
        <w:tblGridChange w:id="0">
          <w:tblGrid>
            <w:gridCol w:w="3727.0956417072075"/>
            <w:gridCol w:w="1140.1655047896083"/>
            <w:gridCol w:w="4158.250664526807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Komponen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Ada / Tidak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Laporan Posisi Keuangan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Menyajikan aset, liabilitas, dan ekuitas per 31 Des 2022 &amp; 2021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Laporan Laba Rugi &amp; Penghasilan Komprehensif Lain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Menyajikan pendapatan, beban, laba bersih, dan OCI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Laporan Perubahan Ekuitas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Menyajikan mutasi saldo laba dan dividen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Laporan Arus Kas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Metode langsung; aktivitas operasi, investasi, dan pendanaan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Catatan atas Laporan Keuangan (CaLK)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Menjelaskan kebijakan akuntansi &amp; rincian tiap pos laporan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Kesimpulan:</w:t>
      </w:r>
      <w:r w:rsidDel="00000000" w:rsidR="00000000" w:rsidRPr="00000000">
        <w:rPr>
          <w:rtl w:val="0"/>
        </w:rPr>
        <w:t xml:space="preserve"> Semua komponen utama tersedia lengkap.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wkbtqjwub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Urutan Penyajian dan Keterbandingan Antar Periode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.692669329874"/>
        <w:gridCol w:w="1550.8764177724117"/>
        <w:gridCol w:w="4848.942723921337"/>
        <w:tblGridChange w:id="0">
          <w:tblGrid>
            <w:gridCol w:w="2625.692669329874"/>
            <w:gridCol w:w="1550.8764177724117"/>
            <w:gridCol w:w="4848.94272392133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Penilaian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Urutan sesuai PSAK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Sesuai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Pos-pos utama disajikan secara sistematis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Perbandingan antar tahun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Menyajikan tahun 2022 dan 2021 berdampingan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Konsistensi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Konsisten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Format, istilah, dan satuan konsisten tiap periode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Kesimpulan:</w:t>
      </w:r>
      <w:r w:rsidDel="00000000" w:rsidR="00000000" w:rsidRPr="00000000">
        <w:rPr>
          <w:rtl w:val="0"/>
        </w:rPr>
        <w:t xml:space="preserve"> Urutan dan keterbandingan terpenuhi.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2buewp12s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Kesesuaian dengan PSAK 1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99.5576508350473"/>
        <w:gridCol w:w="1140.1655047896083"/>
        <w:gridCol w:w="3985.788655398967"/>
        <w:tblGridChange w:id="0">
          <w:tblGrid>
            <w:gridCol w:w="3899.5576508350473"/>
            <w:gridCol w:w="1140.1655047896083"/>
            <w:gridCol w:w="3985.78865539896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Kriteria PSAK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Penilaian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Identitas entitas &amp; periode disajikan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Nama perusahaan, mata uang, periode jelas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Basis penyusunan &amp; kepatuhan SAK diungkapkan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Mengacu pada SAK yang berlaku di Indonesia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Penyajian wajar &amp; kelangsungan usaha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Menyatakan going concern dan penyajian wajar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Klasifikasi lancar/tidak lancar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Ada pemisahan aset/liabilitas lancar dan tidak lancar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Pengungkapan kebijakan akuntansi signifikan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Diuraikan di Catatan 2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Kesimpulan:</w:t>
      </w:r>
      <w:r w:rsidDel="00000000" w:rsidR="00000000" w:rsidRPr="00000000">
        <w:rPr>
          <w:rtl w:val="0"/>
        </w:rPr>
        <w:t xml:space="preserve"> Penyajian telah sesuai ketentuan PSAK 1.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rj2ihwaa9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Kualitas Pengungkapan dalam CaLK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2.0703144591007"/>
        <w:gridCol w:w="1183.2810070715684"/>
        <w:gridCol w:w="4000.160489492954"/>
        <w:tblGridChange w:id="0">
          <w:tblGrid>
            <w:gridCol w:w="3842.0703144591007"/>
            <w:gridCol w:w="1183.2810070715684"/>
            <w:gridCol w:w="4000.16048949295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Penilaian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Rincian tiap akun dijelaskan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Baik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Menyajikan rincian angka, kebijakan, dan asumsi penting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Informasi non-keuangan relevan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⚪ Cukup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Ada info ESG, keberlanjutan, tetapi masih ringkas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Transparansi atas estimasi &amp; pertimbangan manajemen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Baik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Diungkapkan pada bagian kebijakan akuntansi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Bahasa &amp; struktur CaLK mudah dipahami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Tabel dan narasi cukup jelas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Kesimpulan:</w:t>
      </w:r>
      <w:r w:rsidDel="00000000" w:rsidR="00000000" w:rsidRPr="00000000">
        <w:rPr>
          <w:rtl w:val="0"/>
        </w:rPr>
        <w:t xml:space="preserve"> Pengungkapan CaLK cukup informatif dan jelas.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ezxgcyrk2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Temuan Menarik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1.9095873708807"/>
        <w:gridCol w:w="6953.602223652742"/>
        <w:tblGridChange w:id="0">
          <w:tblGrid>
            <w:gridCol w:w="2071.9095873708807"/>
            <w:gridCol w:w="6953.60222365274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Jenis Temuan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Uraian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Hal baik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Rasio profitabilitas tinggi, perusahaan rutin membagikan dividen besar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Kejanggalan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Piutang usaha turun cukup tajam dibanding 2021 (perlu dianalisis penyebab)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Perbaikan disarankan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Perlu menambahkan pengungkapan lebih rinci tentang risiko ESG &amp; perubahan iklim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67secsywt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📎 Output yang Dikumpulkan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📑 Worksheet analisis (tabel di atas)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🔗 Link laporan keuangan: Unilever Indonesia 2022 - IDX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📝 Dicatat kehadiran, partisipasi, dan kualitas analisis mahasiswa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