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9B85" w14:textId="5048978B" w:rsidR="000C7072" w:rsidRP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MAKALAH</w:t>
      </w:r>
    </w:p>
    <w:p w14:paraId="63CB87DC" w14:textId="05661420" w:rsid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AKUNTANSI KEUANGAN 1</w:t>
      </w:r>
    </w:p>
    <w:p w14:paraId="73F39E36" w14:textId="54A5BD93" w:rsidR="000C7072" w:rsidRPr="00F64856" w:rsidRDefault="008101F0" w:rsidP="009978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 xml:space="preserve">“PSAK 19: </w:t>
      </w:r>
      <w:r w:rsidR="000C7072" w:rsidRPr="00F64856">
        <w:rPr>
          <w:rFonts w:ascii="Times New Roman" w:hAnsi="Times New Roman" w:cs="Times New Roman"/>
          <w:b/>
          <w:sz w:val="24"/>
          <w:szCs w:val="24"/>
        </w:rPr>
        <w:t>ASET TAK BERWUJUD</w:t>
      </w:r>
      <w:r w:rsidRPr="00F64856">
        <w:rPr>
          <w:rFonts w:ascii="Times New Roman" w:hAnsi="Times New Roman" w:cs="Times New Roman"/>
          <w:b/>
          <w:sz w:val="24"/>
          <w:szCs w:val="24"/>
        </w:rPr>
        <w:t>”</w:t>
      </w:r>
    </w:p>
    <w:p w14:paraId="6409756D" w14:textId="17497F7E" w:rsidR="000C7072" w:rsidRPr="00F64856" w:rsidRDefault="000C7072" w:rsidP="00997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>Dosen</w:t>
      </w:r>
      <w:r w:rsidR="008101F0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1F0" w:rsidRPr="00F64856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:</w:t>
      </w:r>
      <w:r w:rsidR="008101F0" w:rsidRPr="00F64856">
        <w:rPr>
          <w:rFonts w:ascii="Times New Roman" w:hAnsi="Times New Roman" w:cs="Times New Roman"/>
          <w:sz w:val="24"/>
          <w:szCs w:val="24"/>
        </w:rPr>
        <w:t xml:space="preserve"> </w:t>
      </w:r>
      <w:r w:rsidRPr="00F64856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Stiawan</w:t>
      </w:r>
      <w:proofErr w:type="spellEnd"/>
      <w:r w:rsidR="00F21F9B" w:rsidRPr="00F64856">
        <w:rPr>
          <w:rFonts w:ascii="Times New Roman" w:hAnsi="Times New Roman" w:cs="Times New Roman"/>
          <w:sz w:val="24"/>
          <w:szCs w:val="24"/>
        </w:rPr>
        <w:t>, S.E.,</w:t>
      </w:r>
      <w:r w:rsidR="00064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F9B" w:rsidRPr="00F64856">
        <w:rPr>
          <w:rFonts w:ascii="Times New Roman" w:hAnsi="Times New Roman" w:cs="Times New Roman"/>
          <w:sz w:val="24"/>
          <w:szCs w:val="24"/>
        </w:rPr>
        <w:t>M.Ak</w:t>
      </w:r>
      <w:proofErr w:type="spellEnd"/>
      <w:r w:rsidR="00F21F9B" w:rsidRPr="00F64856">
        <w:rPr>
          <w:rFonts w:ascii="Times New Roman" w:hAnsi="Times New Roman" w:cs="Times New Roman"/>
          <w:sz w:val="24"/>
          <w:szCs w:val="24"/>
        </w:rPr>
        <w:t>.</w:t>
      </w:r>
    </w:p>
    <w:p w14:paraId="59EAC185" w14:textId="77777777" w:rsidR="000C7072" w:rsidRPr="00F64856" w:rsidRDefault="000C7072" w:rsidP="00997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0EECE0" w14:textId="77777777" w:rsidR="000C7072" w:rsidRP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E1B2B" wp14:editId="38226007">
            <wp:extent cx="1666875" cy="1666875"/>
            <wp:effectExtent l="0" t="0" r="0" b="0"/>
            <wp:docPr id="1" name="Picture 0" descr="IMG-20220911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911-WA00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3E2" w14:textId="75668358" w:rsidR="000C7072" w:rsidRP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>Disusun Oleh:</w:t>
      </w:r>
    </w:p>
    <w:tbl>
      <w:tblPr>
        <w:tblStyle w:val="TableGrid"/>
        <w:tblW w:w="0" w:type="auto"/>
        <w:tblInd w:w="1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3026"/>
        <w:gridCol w:w="278"/>
        <w:gridCol w:w="2134"/>
      </w:tblGrid>
      <w:tr w:rsidR="000C7072" w:rsidRPr="00F64856" w14:paraId="28993910" w14:textId="77777777" w:rsidTr="00F64856">
        <w:trPr>
          <w:trHeight w:val="217"/>
        </w:trPr>
        <w:tc>
          <w:tcPr>
            <w:tcW w:w="452" w:type="dxa"/>
          </w:tcPr>
          <w:p w14:paraId="0DE19C06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6" w:type="dxa"/>
          </w:tcPr>
          <w:p w14:paraId="232B3A45" w14:textId="77777777" w:rsidR="000C7072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FRENKY PRATAMA</w:t>
            </w:r>
          </w:p>
        </w:tc>
        <w:tc>
          <w:tcPr>
            <w:tcW w:w="278" w:type="dxa"/>
          </w:tcPr>
          <w:p w14:paraId="4C67235C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2BC46667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22101120</w:t>
            </w:r>
            <w:r w:rsidR="00F21F9B" w:rsidRPr="00F64856">
              <w:rPr>
                <w:rFonts w:ascii="Times New Roman" w:hAnsi="Times New Roman" w:cs="Times New Roman"/>
                <w:sz w:val="24"/>
                <w:szCs w:val="24"/>
              </w:rPr>
              <w:t>1297</w:t>
            </w:r>
          </w:p>
        </w:tc>
      </w:tr>
      <w:tr w:rsidR="000C7072" w:rsidRPr="00F64856" w14:paraId="2746E1D0" w14:textId="77777777" w:rsidTr="00F64856">
        <w:trPr>
          <w:trHeight w:val="217"/>
        </w:trPr>
        <w:tc>
          <w:tcPr>
            <w:tcW w:w="452" w:type="dxa"/>
          </w:tcPr>
          <w:p w14:paraId="192EE4C5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6" w:type="dxa"/>
          </w:tcPr>
          <w:p w14:paraId="370B17C2" w14:textId="77777777" w:rsidR="000C7072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HESTI HIDAYAH</w:t>
            </w:r>
          </w:p>
        </w:tc>
        <w:tc>
          <w:tcPr>
            <w:tcW w:w="278" w:type="dxa"/>
          </w:tcPr>
          <w:p w14:paraId="3F9B3E2D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41AD0FE0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22101120</w:t>
            </w:r>
            <w:r w:rsidR="00F21F9B" w:rsidRPr="00F64856">
              <w:rPr>
                <w:rFonts w:ascii="Times New Roman" w:hAnsi="Times New Roman" w:cs="Times New Roman"/>
                <w:sz w:val="24"/>
                <w:szCs w:val="24"/>
              </w:rPr>
              <w:t>1489</w:t>
            </w:r>
          </w:p>
        </w:tc>
      </w:tr>
      <w:tr w:rsidR="000C7072" w:rsidRPr="00F64856" w14:paraId="58B69D6E" w14:textId="77777777" w:rsidTr="00F64856">
        <w:trPr>
          <w:trHeight w:val="217"/>
        </w:trPr>
        <w:tc>
          <w:tcPr>
            <w:tcW w:w="452" w:type="dxa"/>
          </w:tcPr>
          <w:p w14:paraId="6551AF71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6" w:type="dxa"/>
          </w:tcPr>
          <w:p w14:paraId="09C47BD0" w14:textId="77777777" w:rsidR="000C7072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NAZWA SHABILA</w:t>
            </w:r>
          </w:p>
        </w:tc>
        <w:tc>
          <w:tcPr>
            <w:tcW w:w="278" w:type="dxa"/>
          </w:tcPr>
          <w:p w14:paraId="51CE9468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7D203C4F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22101120</w:t>
            </w:r>
            <w:r w:rsidR="00F21F9B" w:rsidRPr="00F64856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0C7072" w:rsidRPr="00F64856" w14:paraId="41CE4793" w14:textId="77777777" w:rsidTr="00F64856">
        <w:trPr>
          <w:trHeight w:val="998"/>
        </w:trPr>
        <w:tc>
          <w:tcPr>
            <w:tcW w:w="452" w:type="dxa"/>
          </w:tcPr>
          <w:p w14:paraId="70C2732E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6EC98CF7" w14:textId="77777777" w:rsidR="00F21F9B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6" w:type="dxa"/>
          </w:tcPr>
          <w:p w14:paraId="4531D73E" w14:textId="7752136C" w:rsidR="000C7072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NURUL FITRI</w:t>
            </w:r>
          </w:p>
          <w:p w14:paraId="241B3493" w14:textId="77777777" w:rsidR="00F21F9B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TIARA NANDITA</w:t>
            </w:r>
          </w:p>
        </w:tc>
        <w:tc>
          <w:tcPr>
            <w:tcW w:w="278" w:type="dxa"/>
          </w:tcPr>
          <w:p w14:paraId="42BCB715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5CC865A3" w14:textId="77777777" w:rsidR="000C7072" w:rsidRPr="00F64856" w:rsidRDefault="000C7072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22101120</w:t>
            </w:r>
            <w:r w:rsidR="00F21F9B" w:rsidRPr="00F64856"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  <w:p w14:paraId="0EF00339" w14:textId="77777777" w:rsidR="00F21F9B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856">
              <w:rPr>
                <w:rFonts w:ascii="Times New Roman" w:hAnsi="Times New Roman" w:cs="Times New Roman"/>
                <w:sz w:val="24"/>
                <w:szCs w:val="24"/>
              </w:rPr>
              <w:t>221011201334</w:t>
            </w:r>
          </w:p>
          <w:p w14:paraId="28B84F7D" w14:textId="77777777" w:rsidR="00F21F9B" w:rsidRPr="00F64856" w:rsidRDefault="00F21F9B" w:rsidP="009978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68CE1C" w14:textId="67A89347" w:rsidR="000C7072" w:rsidRDefault="000C7072" w:rsidP="000647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>Kelas:</w:t>
      </w:r>
      <w:r w:rsidR="00064770">
        <w:rPr>
          <w:rFonts w:ascii="Times New Roman" w:hAnsi="Times New Roman" w:cs="Times New Roman"/>
          <w:sz w:val="24"/>
          <w:szCs w:val="24"/>
        </w:rPr>
        <w:t xml:space="preserve"> </w:t>
      </w:r>
      <w:r w:rsidRPr="00F64856">
        <w:rPr>
          <w:rFonts w:ascii="Times New Roman" w:hAnsi="Times New Roman" w:cs="Times New Roman"/>
          <w:sz w:val="24"/>
          <w:szCs w:val="24"/>
        </w:rPr>
        <w:t>03SAKM006</w:t>
      </w:r>
    </w:p>
    <w:p w14:paraId="53456D98" w14:textId="77777777" w:rsidR="00F64856" w:rsidRPr="00F64856" w:rsidRDefault="00F64856" w:rsidP="009978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92A0CD" w14:textId="574E087D" w:rsidR="00F64856" w:rsidRPr="00F64856" w:rsidRDefault="000C7072" w:rsidP="000647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PROGRAM STUDI</w:t>
      </w:r>
      <w:r w:rsidR="00064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856">
        <w:rPr>
          <w:rFonts w:ascii="Times New Roman" w:hAnsi="Times New Roman" w:cs="Times New Roman"/>
          <w:b/>
          <w:sz w:val="24"/>
          <w:szCs w:val="24"/>
        </w:rPr>
        <w:t>S1 AKUNTANSI</w:t>
      </w:r>
    </w:p>
    <w:p w14:paraId="35FC2D78" w14:textId="77777777" w:rsid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FAKULTAS EKONOMI DAN BISNIS</w:t>
      </w:r>
    </w:p>
    <w:p w14:paraId="29C005AC" w14:textId="77777777" w:rsidR="00F64856" w:rsidRDefault="000C7072" w:rsidP="009978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UNIVERSTAS PAMULANG</w:t>
      </w:r>
    </w:p>
    <w:p w14:paraId="679AF231" w14:textId="79ACC4D5" w:rsidR="00F64856" w:rsidRDefault="000C7072" w:rsidP="000647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t>2023</w:t>
      </w:r>
    </w:p>
    <w:p w14:paraId="60B8207E" w14:textId="1BCB76D8" w:rsidR="00E37229" w:rsidRPr="00F64856" w:rsidRDefault="00E37229" w:rsidP="009978F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</w:p>
    <w:p w14:paraId="12C36BA6" w14:textId="77777777" w:rsidR="00E37229" w:rsidRPr="00F64856" w:rsidRDefault="00E37229" w:rsidP="00997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058C07" w14:textId="77777777" w:rsidR="00DE2E12" w:rsidRPr="00F64856" w:rsidRDefault="00E37229" w:rsidP="009978F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</w:t>
      </w:r>
    </w:p>
    <w:p w14:paraId="65D9E8BE" w14:textId="77777777" w:rsidR="00E37229" w:rsidRPr="00F64856" w:rsidRDefault="00E37229" w:rsidP="009978F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14:paraId="73C2B921" w14:textId="77777777" w:rsidR="00E37229" w:rsidRPr="00F64856" w:rsidRDefault="00E37229" w:rsidP="009978F3">
      <w:pPr>
        <w:pStyle w:val="Heading2"/>
        <w:numPr>
          <w:ilvl w:val="0"/>
          <w:numId w:val="23"/>
        </w:numPr>
        <w:spacing w:line="360" w:lineRule="auto"/>
        <w:jc w:val="both"/>
        <w:rPr>
          <w:rFonts w:cs="Times New Roman"/>
          <w:szCs w:val="24"/>
        </w:rPr>
      </w:pPr>
      <w:r w:rsidRPr="00F64856">
        <w:rPr>
          <w:rFonts w:cs="Times New Roman"/>
          <w:szCs w:val="24"/>
        </w:rPr>
        <w:t>Latar Belakang</w:t>
      </w:r>
    </w:p>
    <w:p w14:paraId="10452DB6" w14:textId="77777777" w:rsidR="00865520" w:rsidRPr="00F64856" w:rsidRDefault="00865520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melaju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zaman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diiliki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juga harus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(Rahayu &amp;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2020). Seiring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bebas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terdorong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baru agar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Daulay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2017).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internal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(Ekawati &amp;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Soleha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, 2017).</w:t>
      </w:r>
    </w:p>
    <w:p w14:paraId="48F7695F" w14:textId="77777777" w:rsidR="00865520" w:rsidRPr="00F64856" w:rsidRDefault="00865520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Perusahaan harus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gunu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penyusunan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(Rahayu &amp;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2020).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Rahayu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(2020),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handal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sistem digital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membuat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lastRenderedPageBreak/>
        <w:t>Standar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Akuntansi Keuangan (PSAK)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mengenai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196FD636" w14:textId="4F83E6FD" w:rsidR="00865520" w:rsidRPr="00F64856" w:rsidRDefault="00865520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Aset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r w:rsidRPr="00F64856">
        <w:rPr>
          <w:rFonts w:ascii="Times New Roman" w:hAnsi="Times New Roman" w:cs="Times New Roman"/>
          <w:i/>
          <w:sz w:val="24"/>
          <w:szCs w:val="24"/>
        </w:rPr>
        <w:t>intangible asset</w:t>
      </w:r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dimiliki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sudah pasti (PSAK 19, 2018). Aset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memiliki nilai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juga biasa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modal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modal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Khusnudin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2020).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Khusnudin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paten, goodwill,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ide,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7279A4F7" w14:textId="77777777" w:rsidR="00865520" w:rsidRPr="00F64856" w:rsidRDefault="00865520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Aset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dimiliki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sulit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Daulay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2017). Seiring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lagi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pasar,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meningkatkan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(Firmansyah et al., 2020). Para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meningkatkan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Daulay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2017). Informasi yang relevan dan juga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kepada para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lastRenderedPageBreak/>
        <w:t>pemegang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adanya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terkait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asimetri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terpengaruhnya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(Firmansyah et al., 2020).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relevan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era modern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keuntungan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negaranegara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Khusnudin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, 2020).</w:t>
      </w:r>
    </w:p>
    <w:p w14:paraId="3FBA7F48" w14:textId="77777777" w:rsidR="00865520" w:rsidRPr="00F64856" w:rsidRDefault="00865520" w:rsidP="009978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1C831" w14:textId="77777777" w:rsidR="00865520" w:rsidRPr="00F64856" w:rsidRDefault="00865520" w:rsidP="009978F3">
      <w:pPr>
        <w:pStyle w:val="Heading2"/>
        <w:numPr>
          <w:ilvl w:val="0"/>
          <w:numId w:val="2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64856">
        <w:rPr>
          <w:rFonts w:cs="Times New Roman"/>
          <w:szCs w:val="24"/>
        </w:rPr>
        <w:t>Rumusan</w:t>
      </w:r>
      <w:proofErr w:type="spellEnd"/>
      <w:r w:rsidRPr="00F64856">
        <w:rPr>
          <w:rFonts w:cs="Times New Roman"/>
          <w:szCs w:val="24"/>
        </w:rPr>
        <w:t xml:space="preserve"> Masalah</w:t>
      </w:r>
    </w:p>
    <w:p w14:paraId="6F59F43D" w14:textId="3E2B84BA" w:rsidR="00865520" w:rsidRPr="00F64856" w:rsidRDefault="00865520" w:rsidP="009978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</w:t>
      </w:r>
      <w:r w:rsidRPr="00F648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</w:t>
      </w:r>
      <w:r w:rsidRPr="00F6485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b</w:t>
      </w:r>
      <w:r w:rsidRPr="00F64856">
        <w:rPr>
          <w:rFonts w:ascii="Times New Roman" w:hAnsi="Times New Roman" w:cs="Times New Roman"/>
          <w:sz w:val="24"/>
          <w:szCs w:val="24"/>
        </w:rPr>
        <w:t>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?</w:t>
      </w:r>
    </w:p>
    <w:p w14:paraId="68FBAC7D" w14:textId="6C58C26D" w:rsidR="00865520" w:rsidRPr="00F64856" w:rsidRDefault="00865520" w:rsidP="009978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8F3">
        <w:rPr>
          <w:rFonts w:ascii="Times New Roman" w:hAnsi="Times New Roman" w:cs="Times New Roman"/>
          <w:sz w:val="24"/>
          <w:szCs w:val="24"/>
        </w:rPr>
        <w:t>s</w:t>
      </w:r>
      <w:r w:rsidRPr="00F64856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</w:t>
      </w:r>
      <w:r w:rsidRPr="00F648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</w:t>
      </w:r>
      <w:r w:rsidRPr="00F6485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b</w:t>
      </w:r>
      <w:r w:rsidRPr="00F64856">
        <w:rPr>
          <w:rFonts w:ascii="Times New Roman" w:hAnsi="Times New Roman" w:cs="Times New Roman"/>
          <w:sz w:val="24"/>
          <w:szCs w:val="24"/>
        </w:rPr>
        <w:t>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?</w:t>
      </w:r>
    </w:p>
    <w:p w14:paraId="1A1519A5" w14:textId="748D806C" w:rsidR="00865520" w:rsidRPr="00F64856" w:rsidRDefault="00865520" w:rsidP="009978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p</w:t>
      </w:r>
      <w:r w:rsidRPr="00F64856">
        <w:rPr>
          <w:rFonts w:ascii="Times New Roman" w:hAnsi="Times New Roman" w:cs="Times New Roman"/>
          <w:sz w:val="24"/>
          <w:szCs w:val="24"/>
        </w:rPr>
        <w:t>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</w:t>
      </w:r>
      <w:r w:rsidRPr="00F648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</w:t>
      </w:r>
      <w:r w:rsidRPr="00F6485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b</w:t>
      </w:r>
      <w:r w:rsidRPr="00F64856">
        <w:rPr>
          <w:rFonts w:ascii="Times New Roman" w:hAnsi="Times New Roman" w:cs="Times New Roman"/>
          <w:sz w:val="24"/>
          <w:szCs w:val="24"/>
        </w:rPr>
        <w:t>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?</w:t>
      </w:r>
    </w:p>
    <w:p w14:paraId="36858770" w14:textId="7466A431" w:rsidR="00865520" w:rsidRPr="00F64856" w:rsidRDefault="00865520" w:rsidP="009978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Bagaimana </w:t>
      </w:r>
      <w:r w:rsidR="00C334E4">
        <w:rPr>
          <w:rFonts w:ascii="Times New Roman" w:hAnsi="Times New Roman" w:cs="Times New Roman"/>
          <w:sz w:val="24"/>
          <w:szCs w:val="24"/>
        </w:rPr>
        <w:t>p</w:t>
      </w:r>
      <w:r w:rsidRPr="00F64856">
        <w:rPr>
          <w:rFonts w:ascii="Times New Roman" w:hAnsi="Times New Roman" w:cs="Times New Roman"/>
          <w:sz w:val="24"/>
          <w:szCs w:val="24"/>
        </w:rPr>
        <w:t xml:space="preserve">engukuran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</w:t>
      </w:r>
      <w:r w:rsidRPr="00F648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</w:t>
      </w:r>
      <w:r w:rsidRPr="00F6485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b</w:t>
      </w:r>
      <w:r w:rsidRPr="00F64856">
        <w:rPr>
          <w:rFonts w:ascii="Times New Roman" w:hAnsi="Times New Roman" w:cs="Times New Roman"/>
          <w:sz w:val="24"/>
          <w:szCs w:val="24"/>
        </w:rPr>
        <w:t>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?</w:t>
      </w:r>
    </w:p>
    <w:p w14:paraId="7733A88F" w14:textId="7D06814C" w:rsidR="00865520" w:rsidRPr="009978F3" w:rsidRDefault="00865520" w:rsidP="009978F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p</w:t>
      </w:r>
      <w:r w:rsidRPr="00F64856">
        <w:rPr>
          <w:rFonts w:ascii="Times New Roman" w:hAnsi="Times New Roman" w:cs="Times New Roman"/>
          <w:sz w:val="24"/>
          <w:szCs w:val="24"/>
        </w:rPr>
        <w:t>engungkapan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</w:t>
      </w:r>
      <w:r w:rsidRPr="00F64856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</w:t>
      </w:r>
      <w:r w:rsidRPr="00F6485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b</w:t>
      </w:r>
      <w:r w:rsidRPr="00F64856">
        <w:rPr>
          <w:rFonts w:ascii="Times New Roman" w:hAnsi="Times New Roman" w:cs="Times New Roman"/>
          <w:sz w:val="24"/>
          <w:szCs w:val="24"/>
        </w:rPr>
        <w:t>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?</w:t>
      </w:r>
    </w:p>
    <w:p w14:paraId="13D65D47" w14:textId="7B183A0B" w:rsidR="003961AB" w:rsidRPr="00F64856" w:rsidRDefault="00865520" w:rsidP="009978F3">
      <w:pPr>
        <w:pStyle w:val="Heading2"/>
        <w:numPr>
          <w:ilvl w:val="0"/>
          <w:numId w:val="23"/>
        </w:numPr>
        <w:spacing w:line="360" w:lineRule="auto"/>
        <w:jc w:val="both"/>
        <w:rPr>
          <w:rFonts w:cs="Times New Roman"/>
          <w:szCs w:val="24"/>
        </w:rPr>
      </w:pPr>
      <w:r w:rsidRPr="00F64856">
        <w:rPr>
          <w:rFonts w:cs="Times New Roman"/>
          <w:szCs w:val="24"/>
        </w:rPr>
        <w:t>Tujuan</w:t>
      </w:r>
    </w:p>
    <w:p w14:paraId="21C532DA" w14:textId="43F62329" w:rsidR="003C6986" w:rsidRPr="00F64856" w:rsidRDefault="003C6986" w:rsidP="009978F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3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</w:p>
    <w:p w14:paraId="253CA8AB" w14:textId="6A8C9EF3" w:rsidR="003C6986" w:rsidRDefault="003C6986" w:rsidP="009978F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3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3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334E4">
        <w:rPr>
          <w:rFonts w:ascii="Times New Roman" w:hAnsi="Times New Roman" w:cs="Times New Roman"/>
          <w:sz w:val="24"/>
          <w:szCs w:val="24"/>
        </w:rPr>
        <w:t xml:space="preserve"> yang termasuk </w:t>
      </w:r>
      <w:proofErr w:type="spellStart"/>
      <w:r w:rsidR="00C334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</w:t>
      </w:r>
    </w:p>
    <w:p w14:paraId="231F68F0" w14:textId="786DF4E7" w:rsidR="003C6986" w:rsidRPr="00C334E4" w:rsidRDefault="00C334E4" w:rsidP="00C334E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64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pengukuran,</w:t>
      </w:r>
      <w:r w:rsidR="00064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9773D" w14:textId="697E7964" w:rsidR="003C6986" w:rsidRPr="00F64856" w:rsidRDefault="003C6986" w:rsidP="009978F3">
      <w:pPr>
        <w:pStyle w:val="Heading2"/>
        <w:numPr>
          <w:ilvl w:val="1"/>
          <w:numId w:val="28"/>
        </w:numPr>
        <w:spacing w:line="360" w:lineRule="auto"/>
        <w:jc w:val="both"/>
        <w:rPr>
          <w:rFonts w:cs="Times New Roman"/>
          <w:szCs w:val="24"/>
        </w:rPr>
      </w:pPr>
      <w:r w:rsidRPr="00F64856">
        <w:rPr>
          <w:rFonts w:cs="Times New Roman"/>
          <w:szCs w:val="24"/>
        </w:rPr>
        <w:t>Manfaat</w:t>
      </w:r>
    </w:p>
    <w:p w14:paraId="11300D8B" w14:textId="4C4B3825" w:rsidR="00865520" w:rsidRPr="00F64856" w:rsidRDefault="00C334E4" w:rsidP="009978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PSAK 19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berwujud</w:t>
      </w:r>
      <w:proofErr w:type="spellEnd"/>
    </w:p>
    <w:p w14:paraId="1E3E654B" w14:textId="182AD3F3" w:rsidR="00C3602A" w:rsidRPr="00C334E4" w:rsidRDefault="00C334E4" w:rsidP="00C334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3C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68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pengakuan,pengukuran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EF">
        <w:rPr>
          <w:rFonts w:ascii="Times New Roman" w:hAnsi="Times New Roman" w:cs="Times New Roman"/>
          <w:sz w:val="24"/>
          <w:szCs w:val="24"/>
        </w:rPr>
        <w:t>PSAk</w:t>
      </w:r>
      <w:proofErr w:type="spellEnd"/>
      <w:r w:rsidR="00FB78EF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5AC0A312" w14:textId="77777777" w:rsidR="002F601A" w:rsidRPr="00F64856" w:rsidRDefault="002F601A" w:rsidP="009978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CC58D" w14:textId="77777777" w:rsidR="003C6986" w:rsidRPr="00F64856" w:rsidRDefault="003C6986" w:rsidP="00997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738E29" w14:textId="77777777" w:rsidR="00C3602A" w:rsidRPr="00F64856" w:rsidRDefault="00C3602A" w:rsidP="000647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</w:t>
      </w:r>
    </w:p>
    <w:p w14:paraId="4D218FDD" w14:textId="77777777" w:rsidR="00C3602A" w:rsidRPr="00F64856" w:rsidRDefault="00C3602A" w:rsidP="000647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PEMBAHASAN</w:t>
      </w:r>
    </w:p>
    <w:p w14:paraId="1B98EA61" w14:textId="77777777" w:rsidR="00C3602A" w:rsidRPr="00F64856" w:rsidRDefault="002F601A" w:rsidP="009978F3">
      <w:pPr>
        <w:pStyle w:val="Heading2"/>
        <w:numPr>
          <w:ilvl w:val="0"/>
          <w:numId w:val="2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64856">
        <w:rPr>
          <w:rFonts w:cs="Times New Roman"/>
          <w:szCs w:val="24"/>
        </w:rPr>
        <w:t>Definisi</w:t>
      </w:r>
      <w:proofErr w:type="spellEnd"/>
      <w:r w:rsidRPr="00F64856">
        <w:rPr>
          <w:rFonts w:cs="Times New Roman"/>
          <w:szCs w:val="24"/>
        </w:rPr>
        <w:t xml:space="preserve"> Aset Tak </w:t>
      </w:r>
      <w:proofErr w:type="spellStart"/>
      <w:r w:rsidRPr="00F64856">
        <w:rPr>
          <w:rFonts w:cs="Times New Roman"/>
          <w:szCs w:val="24"/>
        </w:rPr>
        <w:t>Berwujud</w:t>
      </w:r>
      <w:proofErr w:type="spellEnd"/>
    </w:p>
    <w:p w14:paraId="54643D97" w14:textId="77777777" w:rsidR="0030074E" w:rsidRPr="00F64856" w:rsidRDefault="002F601A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fisik,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dimiliki secara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atau meningkatkan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teknologi,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implementasi sistem atau proses baru,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masa depan,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masa depan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penjualan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jasa,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pengguna</w:t>
      </w:r>
      <w:r w:rsidR="001B6F12" w:rsidRPr="00F6485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B6F12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F12"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1B6F12"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1B6F12"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1B6F12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F12"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B6F12"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PSAK 19 (2018): perangkat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paten,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film, daftar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garansi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konsesi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PSAK 19 (2018)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tidak semua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74E" w:rsidRPr="00F648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0074E" w:rsidRPr="00F64856">
        <w:rPr>
          <w:rFonts w:ascii="Times New Roman" w:hAnsi="Times New Roman" w:cs="Times New Roman"/>
          <w:sz w:val="24"/>
          <w:szCs w:val="24"/>
        </w:rPr>
        <w:t xml:space="preserve"> masa depan. </w:t>
      </w:r>
    </w:p>
    <w:p w14:paraId="249BA618" w14:textId="77777777" w:rsidR="002F601A" w:rsidRPr="00F64856" w:rsidRDefault="002F601A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masa depan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lastRenderedPageBreak/>
        <w:t>dianggap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tidak termasuk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produk dan jasa,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baru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baru (termasuk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(PSAK 19, 2018). </w:t>
      </w:r>
    </w:p>
    <w:p w14:paraId="023FB134" w14:textId="77777777" w:rsidR="00866E33" w:rsidRPr="00F64856" w:rsidRDefault="00866E33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B2E459" w14:textId="77777777" w:rsidR="00AB62FF" w:rsidRPr="00F64856" w:rsidRDefault="00AB62FF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7DBA22" w14:textId="77777777" w:rsidR="002F601A" w:rsidRPr="00F64856" w:rsidRDefault="0030074E" w:rsidP="009978F3">
      <w:pPr>
        <w:pStyle w:val="Heading2"/>
        <w:numPr>
          <w:ilvl w:val="0"/>
          <w:numId w:val="2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64856">
        <w:rPr>
          <w:rFonts w:cs="Times New Roman"/>
          <w:szCs w:val="24"/>
        </w:rPr>
        <w:t>Klasifikasi</w:t>
      </w:r>
      <w:proofErr w:type="spellEnd"/>
      <w:r w:rsidRPr="00F64856">
        <w:rPr>
          <w:rFonts w:cs="Times New Roman"/>
          <w:szCs w:val="24"/>
        </w:rPr>
        <w:t xml:space="preserve"> Aset Tak </w:t>
      </w:r>
      <w:proofErr w:type="spellStart"/>
      <w:r w:rsidRPr="00F64856">
        <w:rPr>
          <w:rFonts w:cs="Times New Roman"/>
          <w:szCs w:val="24"/>
        </w:rPr>
        <w:t>Berwujud</w:t>
      </w:r>
      <w:proofErr w:type="spellEnd"/>
    </w:p>
    <w:p w14:paraId="525A8491" w14:textId="2D5936BC" w:rsidR="001B6F12" w:rsidRPr="00F64856" w:rsidRDefault="001B6F12" w:rsidP="009978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:</w:t>
      </w:r>
    </w:p>
    <w:p w14:paraId="759C93D3" w14:textId="77777777" w:rsidR="001B6F12" w:rsidRPr="00F64856" w:rsidRDefault="001B6F12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>Hak Paten</w:t>
      </w:r>
    </w:p>
    <w:p w14:paraId="3889A615" w14:textId="23D6CCE8" w:rsidR="001B6F12" w:rsidRPr="00F64856" w:rsidRDefault="001B6F12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paten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lain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Di Indonesia, paten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diberikan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r w:rsidR="004D68DA">
        <w:rPr>
          <w:rFonts w:ascii="Times New Roman" w:hAnsi="Times New Roman" w:cs="Times New Roman"/>
          <w:sz w:val="24"/>
          <w:szCs w:val="24"/>
        </w:rPr>
        <w:t xml:space="preserve">(UU No. 13 </w:t>
      </w:r>
      <w:proofErr w:type="spellStart"/>
      <w:r w:rsidR="004D68D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D68DA">
        <w:rPr>
          <w:rFonts w:ascii="Times New Roman" w:hAnsi="Times New Roman" w:cs="Times New Roman"/>
          <w:sz w:val="24"/>
          <w:szCs w:val="24"/>
        </w:rPr>
        <w:t xml:space="preserve"> 2016) </w:t>
      </w:r>
      <w:r w:rsidRPr="00F64856">
        <w:rPr>
          <w:rFonts w:ascii="Times New Roman" w:hAnsi="Times New Roman" w:cs="Times New Roman"/>
          <w:sz w:val="24"/>
          <w:szCs w:val="24"/>
        </w:rPr>
        <w:t xml:space="preserve">dan paten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diberikan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13B534AB" w14:textId="77777777" w:rsidR="001B6F12" w:rsidRPr="00F64856" w:rsidRDefault="001B6F12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>Hak Cipta</w:t>
      </w:r>
    </w:p>
    <w:p w14:paraId="29B25113" w14:textId="77777777" w:rsidR="001B6F12" w:rsidRPr="00F64856" w:rsidRDefault="001B6F12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Hak Cipta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diberikan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Hak Cipta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berlaku.</w:t>
      </w:r>
    </w:p>
    <w:p w14:paraId="38DD0E49" w14:textId="77777777" w:rsidR="001B6F12" w:rsidRPr="00F64856" w:rsidRDefault="001B6F12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Merek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</w:p>
    <w:p w14:paraId="1379CBD5" w14:textId="77777777" w:rsidR="001B6F12" w:rsidRPr="00F64856" w:rsidRDefault="001B6F12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Hak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produk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Merek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logo, simbol,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r w:rsidRPr="00F64856">
        <w:rPr>
          <w:rFonts w:ascii="Times New Roman" w:hAnsi="Times New Roman" w:cs="Times New Roman"/>
          <w:sz w:val="24"/>
          <w:szCs w:val="24"/>
        </w:rPr>
        <w:lastRenderedPageBreak/>
        <w:t xml:space="preserve">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produk. Merek memiliki masa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diamortisasi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428D5E87" w14:textId="77777777" w:rsidR="003C6986" w:rsidRPr="00F64856" w:rsidRDefault="003C6986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Franchise </w:t>
      </w:r>
    </w:p>
    <w:p w14:paraId="44704B11" w14:textId="77777777" w:rsidR="001B6F12" w:rsidRPr="00F64856" w:rsidRDefault="003C6986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Franchise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r w:rsidRPr="00F64856">
        <w:rPr>
          <w:rFonts w:ascii="Times New Roman" w:hAnsi="Times New Roman" w:cs="Times New Roman"/>
          <w:i/>
          <w:sz w:val="24"/>
          <w:szCs w:val="24"/>
        </w:rPr>
        <w:t>franchisee</w:t>
      </w:r>
      <w:r w:rsidRPr="00F648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proses, dan merk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r w:rsidRPr="00F64856">
        <w:rPr>
          <w:rFonts w:ascii="Times New Roman" w:hAnsi="Times New Roman" w:cs="Times New Roman"/>
          <w:i/>
          <w:sz w:val="24"/>
          <w:szCs w:val="24"/>
        </w:rPr>
        <w:t>franchisor</w:t>
      </w:r>
      <w:r w:rsidRPr="00F64856">
        <w:rPr>
          <w:rFonts w:ascii="Times New Roman" w:hAnsi="Times New Roman" w:cs="Times New Roman"/>
          <w:sz w:val="24"/>
          <w:szCs w:val="24"/>
        </w:rPr>
        <w:t xml:space="preserve">). Franchise biasanya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franchisee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franchise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FCA5D7" w14:textId="77777777" w:rsidR="003C6986" w:rsidRPr="00F64856" w:rsidRDefault="003C6986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Goodwill </w:t>
      </w:r>
    </w:p>
    <w:p w14:paraId="5172FAB4" w14:textId="77777777" w:rsidR="003C6986" w:rsidRPr="00F64856" w:rsidRDefault="003C6986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Goodwill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nilai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Diantaranya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produk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Goodwill biasanya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43089DD0" w14:textId="77777777" w:rsidR="003C6986" w:rsidRPr="00F64856" w:rsidRDefault="003C6986" w:rsidP="009978F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Leasehold </w:t>
      </w:r>
    </w:p>
    <w:p w14:paraId="3C9B06E9" w14:textId="77777777" w:rsidR="001B6F12" w:rsidRPr="00F64856" w:rsidRDefault="003C6986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Leasehold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), yang biasanya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diaktakan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notaris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). Hak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(intangible).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keuntungan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2264E406" w14:textId="77777777" w:rsidR="007E25D4" w:rsidRPr="00F64856" w:rsidRDefault="007E25D4" w:rsidP="009978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8C89AF" w14:textId="77777777" w:rsidR="0030074E" w:rsidRPr="00F64856" w:rsidRDefault="007E25D4" w:rsidP="009978F3">
      <w:pPr>
        <w:pStyle w:val="Heading2"/>
        <w:numPr>
          <w:ilvl w:val="0"/>
          <w:numId w:val="29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64856">
        <w:rPr>
          <w:rFonts w:cs="Times New Roman"/>
          <w:szCs w:val="24"/>
        </w:rPr>
        <w:lastRenderedPageBreak/>
        <w:t>Pengakuan</w:t>
      </w:r>
      <w:proofErr w:type="spellEnd"/>
      <w:r w:rsidRPr="00F64856">
        <w:rPr>
          <w:rFonts w:cs="Times New Roman"/>
          <w:szCs w:val="24"/>
        </w:rPr>
        <w:t xml:space="preserve"> Aset Tak </w:t>
      </w:r>
      <w:proofErr w:type="spellStart"/>
      <w:r w:rsidRPr="00F64856">
        <w:rPr>
          <w:rFonts w:cs="Times New Roman"/>
          <w:szCs w:val="24"/>
        </w:rPr>
        <w:t>Berwujud</w:t>
      </w:r>
      <w:proofErr w:type="spellEnd"/>
    </w:p>
    <w:p w14:paraId="118AA757" w14:textId="77777777" w:rsidR="007E25D4" w:rsidRPr="00F64856" w:rsidRDefault="007E25D4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akuntansi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secara internal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jasa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paten dan juga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pos-pos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tidak termasuk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secara internal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penjualan,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sebelum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0F4260E4" w14:textId="77777777" w:rsidR="007E25D4" w:rsidRPr="00F64856" w:rsidRDefault="007E25D4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jumlah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sudah tidak memiliki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pelepasannya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Keuntungan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muncul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jumlah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lastRenderedPageBreak/>
        <w:t>pengakuannya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memiliki masa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kembali.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atau model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akuntansinya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model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pun juga perlu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model yang juga sama,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jika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dan juga model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>.</w:t>
      </w:r>
    </w:p>
    <w:p w14:paraId="008BCBB8" w14:textId="77777777" w:rsidR="007E25D4" w:rsidRPr="00F64856" w:rsidRDefault="007E25D4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4856">
        <w:rPr>
          <w:rFonts w:ascii="Times New Roman" w:hAnsi="Times New Roman" w:cs="Times New Roman"/>
          <w:sz w:val="24"/>
          <w:szCs w:val="24"/>
        </w:rPr>
        <w:t xml:space="preserve">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a)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masa depan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asset. b)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bisa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handal.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a)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agar bisa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b)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Pengeluaran yang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IAS 38 (2016)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pengakuisisian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asset, goodwill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internal, asset tidak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sz w:val="24"/>
          <w:szCs w:val="24"/>
        </w:rPr>
        <w:t xml:space="preserve"> internal</w:t>
      </w:r>
    </w:p>
    <w:p w14:paraId="0E1310DD" w14:textId="77777777" w:rsidR="00E12016" w:rsidRPr="00F64856" w:rsidRDefault="00E12016" w:rsidP="009978F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B5622C" w14:textId="66550574" w:rsidR="000F52E0" w:rsidRPr="00F64856" w:rsidRDefault="009536C8" w:rsidP="009978F3">
      <w:pPr>
        <w:pStyle w:val="Heading2"/>
        <w:numPr>
          <w:ilvl w:val="0"/>
          <w:numId w:val="29"/>
        </w:numPr>
        <w:spacing w:line="360" w:lineRule="auto"/>
        <w:jc w:val="both"/>
        <w:rPr>
          <w:rFonts w:cs="Times New Roman"/>
          <w:szCs w:val="24"/>
        </w:rPr>
      </w:pPr>
      <w:r w:rsidRPr="00F64856">
        <w:rPr>
          <w:rFonts w:cs="Times New Roman"/>
          <w:szCs w:val="24"/>
        </w:rPr>
        <w:lastRenderedPageBreak/>
        <w:t xml:space="preserve">Pengukuran Aset Tak </w:t>
      </w:r>
      <w:proofErr w:type="spellStart"/>
      <w:r w:rsidRPr="00F64856">
        <w:rPr>
          <w:rFonts w:cs="Times New Roman"/>
          <w:szCs w:val="24"/>
        </w:rPr>
        <w:t>Berwujud</w:t>
      </w:r>
      <w:proofErr w:type="spellEnd"/>
      <w:r w:rsidRPr="00F64856">
        <w:rPr>
          <w:rFonts w:cs="Times New Roman"/>
          <w:szCs w:val="24"/>
        </w:rPr>
        <w:t xml:space="preserve"> </w:t>
      </w:r>
    </w:p>
    <w:p w14:paraId="09C7BD52" w14:textId="7C84CCB0" w:rsidR="000F52E0" w:rsidRPr="00F64856" w:rsidRDefault="000F52E0" w:rsidP="009978F3">
      <w:pPr>
        <w:pStyle w:val="Heading3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64856">
        <w:rPr>
          <w:rFonts w:ascii="Times New Roman" w:hAnsi="Times New Roman" w:cs="Times New Roman"/>
          <w:b/>
          <w:color w:val="000000" w:themeColor="text1"/>
        </w:rPr>
        <w:t xml:space="preserve">Pengukuran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awal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 Aset Tak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Berwujud</w:t>
      </w:r>
      <w:proofErr w:type="spellEnd"/>
    </w:p>
    <w:p w14:paraId="4EC7DF60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Aset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dinilai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diukur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dengan harga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:</w:t>
      </w:r>
    </w:p>
    <w:p w14:paraId="2F2071E8" w14:textId="61178946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064770">
        <w:rPr>
          <w:rFonts w:ascii="Times New Roman" w:hAnsi="Times New Roman" w:cs="Times New Roman"/>
          <w:bCs/>
          <w:sz w:val="24"/>
          <w:szCs w:val="24"/>
        </w:rPr>
        <w:t>H</w:t>
      </w: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arga beli termasuk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masuk (import),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pajak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tidak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dikembalikan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diskon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rabat</w:t>
      </w:r>
    </w:p>
    <w:p w14:paraId="73F1BFBC" w14:textId="0DF03ECC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>2.</w:t>
      </w:r>
      <w:r w:rsidR="00064770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Pr="00F64856">
        <w:rPr>
          <w:rFonts w:ascii="Times New Roman" w:hAnsi="Times New Roman" w:cs="Times New Roman"/>
          <w:bCs/>
          <w:sz w:val="24"/>
          <w:szCs w:val="24"/>
        </w:rPr>
        <w:t xml:space="preserve">egala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dikaitkan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</w:p>
    <w:p w14:paraId="733BF03F" w14:textId="77777777" w:rsidR="00AB62FF" w:rsidRPr="00F64856" w:rsidRDefault="00AB62FF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93A3D5" w14:textId="60740F93" w:rsidR="00F64856" w:rsidRPr="00F64856" w:rsidRDefault="000F52E0" w:rsidP="009978F3">
      <w:pPr>
        <w:pStyle w:val="Heading3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64856">
        <w:rPr>
          <w:rFonts w:ascii="Times New Roman" w:hAnsi="Times New Roman" w:cs="Times New Roman"/>
          <w:b/>
          <w:color w:val="000000" w:themeColor="text1"/>
        </w:rPr>
        <w:t xml:space="preserve">Pengukuran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setelah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akuisisi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: model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biaya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dan model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revaluasi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diperbolehkan</w:t>
      </w:r>
      <w:proofErr w:type="spellEnd"/>
    </w:p>
    <w:p w14:paraId="529892ED" w14:textId="529584AA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atau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:</w:t>
      </w:r>
    </w:p>
    <w:p w14:paraId="57FE741F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1.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 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</w:t>
      </w:r>
    </w:p>
    <w:p w14:paraId="384C5936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2.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 Aset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jika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mengacu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pasar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 Pasar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jarang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 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mungkin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067B2BB" w14:textId="1CF76E02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kuota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</w:p>
    <w:p w14:paraId="786DDD0A" w14:textId="5D7C9BFE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>•</w:t>
      </w:r>
      <w:r w:rsidR="00AB62FF"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penangkapan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ikan</w:t>
      </w:r>
    </w:p>
    <w:p w14:paraId="4E564F5E" w14:textId="107949E6" w:rsidR="00AB62FF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>•</w:t>
      </w:r>
      <w:r w:rsidR="00AB62FF"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taksi</w:t>
      </w:r>
      <w:proofErr w:type="spellEnd"/>
    </w:p>
    <w:p w14:paraId="54D7935C" w14:textId="77777777" w:rsidR="000F52E0" w:rsidRPr="00F64856" w:rsidRDefault="000F52E0" w:rsidP="009978F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kenaikan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penghasilan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komprehensif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lain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diakumulasikan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“surplus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” di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ekuitas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kecuali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kenaikan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membalikkan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laba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 Jika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lastRenderedPageBreak/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dinilai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kembali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oleh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itu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jumlah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dinilai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kembali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diamortisasi</w:t>
      </w:r>
      <w:proofErr w:type="spellEnd"/>
    </w:p>
    <w:p w14:paraId="55B48C42" w14:textId="77777777" w:rsidR="00AB62FF" w:rsidRPr="00F64856" w:rsidRDefault="00AB62FF" w:rsidP="009978F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369D6" w14:textId="37B5A576" w:rsidR="000F52E0" w:rsidRPr="00F64856" w:rsidRDefault="000F52E0" w:rsidP="009978F3">
      <w:pPr>
        <w:pStyle w:val="Heading3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64856">
        <w:rPr>
          <w:rFonts w:ascii="Times New Roman" w:hAnsi="Times New Roman" w:cs="Times New Roman"/>
          <w:b/>
          <w:color w:val="000000" w:themeColor="text1"/>
        </w:rPr>
        <w:t xml:space="preserve">Pengukuran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setelah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akuisisi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aset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berwujud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umur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terbatas</w:t>
      </w:r>
      <w:proofErr w:type="spellEnd"/>
    </w:p>
    <w:p w14:paraId="37D410DC" w14:textId="2F2B6AF8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sisa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dengan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D60B87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mencerminkan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889CD8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1. Jika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polanya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secara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andal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dengan metode garis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lurus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F6099F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laba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kecuali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IFRS lain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mengharuskannya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2FD803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Periode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ditinjau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setidaknya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</w:p>
    <w:p w14:paraId="388FB65A" w14:textId="3BF520C4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Perkiraan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harga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jual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di masa depan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indikasi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konsumsi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atas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masa depan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terkandung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D7C8C5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anggapan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dibantah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metode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 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mengatasi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anggapan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07AEDEF" w14:textId="77777777" w:rsidR="000F52E0" w:rsidRPr="00F64856" w:rsidRDefault="000F52E0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Aset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dinyatakan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 dan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ditunjukkan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pendapatan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konsumsi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ekonomi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D43602" w14:textId="77777777" w:rsidR="00AB62FF" w:rsidRPr="00F64856" w:rsidRDefault="00AB62FF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D4A44C" w14:textId="47F247D1" w:rsidR="000F52E0" w:rsidRPr="00F64856" w:rsidRDefault="000F52E0" w:rsidP="009978F3">
      <w:pPr>
        <w:pStyle w:val="Heading3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64856">
        <w:rPr>
          <w:rFonts w:ascii="Times New Roman" w:hAnsi="Times New Roman" w:cs="Times New Roman"/>
          <w:b/>
          <w:color w:val="000000" w:themeColor="text1"/>
        </w:rPr>
        <w:lastRenderedPageBreak/>
        <w:t xml:space="preserve">Pengukuran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setelah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akuisisi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aset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berwujud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dengan masa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manfaat</w:t>
      </w:r>
      <w:proofErr w:type="spellEnd"/>
      <w:r w:rsidRPr="00F64856">
        <w:rPr>
          <w:rFonts w:ascii="Times New Roman" w:hAnsi="Times New Roman" w:cs="Times New Roman"/>
          <w:b/>
          <w:color w:val="000000" w:themeColor="text1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/>
          <w:color w:val="000000" w:themeColor="text1"/>
        </w:rPr>
        <w:t>terbatas</w:t>
      </w:r>
      <w:proofErr w:type="spellEnd"/>
    </w:p>
    <w:p w14:paraId="3A0A08EB" w14:textId="77777777" w:rsidR="0081454D" w:rsidRPr="00F64856" w:rsidRDefault="000F52E0" w:rsidP="009978F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Aset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boleh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  <w:r w:rsidR="00AB62FF"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4856">
        <w:rPr>
          <w:rFonts w:ascii="Times New Roman" w:hAnsi="Times New Roman" w:cs="Times New Roman"/>
          <w:bCs/>
          <w:sz w:val="24"/>
          <w:szCs w:val="24"/>
        </w:rPr>
        <w:t xml:space="preserve">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dikaji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periode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pelaporan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batas. Jika tidak,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estimasi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akuntansi</w:t>
      </w:r>
      <w:r w:rsidR="00AB62FF"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14C925E" w14:textId="3ABE6512" w:rsidR="0081454D" w:rsidRPr="00F64856" w:rsidRDefault="0081454D" w:rsidP="009978F3">
      <w:pPr>
        <w:pStyle w:val="Heading2"/>
        <w:numPr>
          <w:ilvl w:val="1"/>
          <w:numId w:val="33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F64856">
        <w:rPr>
          <w:rFonts w:cs="Times New Roman"/>
          <w:szCs w:val="24"/>
        </w:rPr>
        <w:t>Pengungkapan</w:t>
      </w:r>
      <w:proofErr w:type="spellEnd"/>
      <w:r w:rsidRPr="00F64856">
        <w:rPr>
          <w:rFonts w:cs="Times New Roman"/>
          <w:szCs w:val="24"/>
        </w:rPr>
        <w:t xml:space="preserve"> Aset Tak </w:t>
      </w:r>
      <w:proofErr w:type="spellStart"/>
      <w:r w:rsidRPr="00F64856">
        <w:rPr>
          <w:rFonts w:cs="Times New Roman"/>
          <w:szCs w:val="24"/>
        </w:rPr>
        <w:t>Berwujud</w:t>
      </w:r>
      <w:proofErr w:type="spellEnd"/>
    </w:p>
    <w:p w14:paraId="7ED0AD56" w14:textId="6E67C98C" w:rsidR="0081454D" w:rsidRPr="00F64856" w:rsidRDefault="0081454D" w:rsidP="009978F3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IAS 38 (2016)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PSAK 19 (2018)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mengungkapkan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dipisahkan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secara internal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metode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bruto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periode, pos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laba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</w:p>
    <w:p w14:paraId="0845403A" w14:textId="77777777" w:rsidR="0081454D" w:rsidRPr="00F64856" w:rsidRDefault="0081454D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penghasilan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komprehensif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rekonsiliasi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atas jumlah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periode. Selain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disebutkan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juga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mengungkapkan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9A64AF0" w14:textId="69A6AA90" w:rsidR="0081454D" w:rsidRPr="00F64856" w:rsidRDefault="0081454D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a) Aset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diprediksi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memiliki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697F807" w14:textId="359E0FEE" w:rsidR="0081454D" w:rsidRPr="00F64856" w:rsidRDefault="0081454D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b)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jumlah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sisa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periode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individual yang material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015D393" w14:textId="776F8AC5" w:rsidR="0081454D" w:rsidRPr="00F64856" w:rsidRDefault="0081454D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c) Aset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hibah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26E669D" w14:textId="77777777" w:rsidR="00E15DC8" w:rsidRDefault="0081454D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d)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komitmen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kontraktual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akuisisi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3B542C" w14:textId="27675527" w:rsidR="00E15DC8" w:rsidRDefault="00E15DC8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3A7855" w14:textId="606656F4" w:rsidR="00E15DC8" w:rsidRDefault="00E15DC8" w:rsidP="002A5D1A">
      <w:pPr>
        <w:pStyle w:val="Heading2"/>
        <w:numPr>
          <w:ilvl w:val="1"/>
          <w:numId w:val="33"/>
        </w:numPr>
      </w:pPr>
      <w:r w:rsidRPr="00E15DC8">
        <w:lastRenderedPageBreak/>
        <w:t xml:space="preserve">Istilah-istilah yang </w:t>
      </w:r>
      <w:proofErr w:type="spellStart"/>
      <w:r w:rsidRPr="00E15DC8">
        <w:t>digunakan</w:t>
      </w:r>
      <w:proofErr w:type="spellEnd"/>
      <w:r w:rsidRPr="00E15DC8">
        <w:t xml:space="preserve"> </w:t>
      </w:r>
      <w:proofErr w:type="spellStart"/>
      <w:r w:rsidRPr="00E15DC8">
        <w:t>dalam</w:t>
      </w:r>
      <w:proofErr w:type="spellEnd"/>
      <w:r w:rsidRPr="00E15DC8">
        <w:t xml:space="preserve"> PSAK 19: Aset Tak </w:t>
      </w:r>
      <w:proofErr w:type="spellStart"/>
      <w:r w:rsidRPr="00E15DC8">
        <w:t>Berwujud</w:t>
      </w:r>
      <w:proofErr w:type="spellEnd"/>
    </w:p>
    <w:p w14:paraId="70B8B5AC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alokasi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sistematis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tersusutkan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manfaatnya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91E6B49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2. Aset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dikendalikan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akibat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peristiwa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ekonomik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masa depan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mengalir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F06CDA0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3. Aset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moneter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kas yang dimiliki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kas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jumlahnya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pasti atau dapat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30B4193" w14:textId="14FEA1AA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4. Aset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moneter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teridentifikasi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wujud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fisik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2A5D1A">
        <w:rPr>
          <w:rFonts w:ascii="Times New Roman" w:hAnsi="Times New Roman" w:cs="Times New Roman"/>
          <w:bCs/>
          <w:sz w:val="24"/>
          <w:szCs w:val="24"/>
        </w:rPr>
        <w:t xml:space="preserve"> 5.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kas atau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setara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kas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dibayarkan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imbalan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diserahkan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konstruksi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atau jika dapat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jumlah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diatribusikan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persyaratan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PSAK 53: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Saham. </w:t>
      </w:r>
    </w:p>
    <w:p w14:paraId="3D6DEECF" w14:textId="77777777" w:rsid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6.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tersusurkan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atau jumlah lain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yangmerupakan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residunya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1DF850F" w14:textId="078CBE51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7.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nilai. </w:t>
      </w:r>
    </w:p>
    <w:p w14:paraId="3700766D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8.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residu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estimasian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dapat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pelepasan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estimasian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pelepasan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jika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manfaatnya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7CC159B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9.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kini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arus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kas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timbul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secara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berkelanjutan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pelepasan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manfaatnya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liabilitas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65A543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10.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harga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menjual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harga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dibayar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mengalihkan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liabilitas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transaksi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teratur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pelaku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pasar pada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pengukuran (PSAK 68: Pengukuran Nilai Wajar). </w:t>
      </w:r>
    </w:p>
    <w:p w14:paraId="6581DFE4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11.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temuan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penelitian atau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lain pada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rancangan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baku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produk, proses, sistem, atau jasa yang baru atau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perbaikan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substansial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, sebelum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dimulainya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komersial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pemakaian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27724E4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12. Penelitian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penyelidikan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asli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terencana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harapan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pembaruan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teknis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atas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baru. </w:t>
      </w:r>
    </w:p>
    <w:p w14:paraId="6FCF0A5A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13.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penuriman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selisih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atas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terpulihkan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4CD227E" w14:textId="77777777" w:rsidR="002A5D1A" w:rsidRPr="002A5D1A" w:rsidRDefault="002A5D1A" w:rsidP="002A5D1A">
      <w:pPr>
        <w:pStyle w:val="ListParagraph"/>
        <w:spacing w:line="360" w:lineRule="auto"/>
        <w:ind w:left="6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14.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Umur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C3A55E8" w14:textId="77777777" w:rsidR="002A5D1A" w:rsidRDefault="002A5D1A" w:rsidP="002A5D1A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periode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; atau </w:t>
      </w:r>
    </w:p>
    <w:p w14:paraId="14E5F5B0" w14:textId="4DF5DD5F" w:rsidR="00E15DC8" w:rsidRPr="002A5D1A" w:rsidRDefault="002A5D1A" w:rsidP="002A5D1A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D1A">
        <w:rPr>
          <w:rFonts w:ascii="Times New Roman" w:hAnsi="Times New Roman" w:cs="Times New Roman"/>
          <w:bCs/>
          <w:sz w:val="24"/>
          <w:szCs w:val="24"/>
        </w:rPr>
        <w:t xml:space="preserve"> jumlah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atau unit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serupa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diperkirakan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2A5D1A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2A5D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0C65D6" w14:textId="77777777" w:rsidR="00E15DC8" w:rsidRDefault="00E15DC8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98AE66" w14:textId="77777777" w:rsidR="00E15DC8" w:rsidRDefault="00E15DC8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8355E3" w14:textId="01AB66F0" w:rsidR="00E12016" w:rsidRPr="00F64856" w:rsidRDefault="00E12016" w:rsidP="009978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85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282AD53" w14:textId="77777777" w:rsidR="002F601A" w:rsidRPr="00F64856" w:rsidRDefault="00E12016" w:rsidP="000647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III</w:t>
      </w:r>
    </w:p>
    <w:p w14:paraId="6A40040B" w14:textId="14070856" w:rsidR="00E12016" w:rsidRDefault="00E12016" w:rsidP="000647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CONTOH KASUS</w:t>
      </w:r>
    </w:p>
    <w:p w14:paraId="0EACADD1" w14:textId="2E5AC77A" w:rsidR="0001380A" w:rsidRDefault="0001380A" w:rsidP="009978F3">
      <w:pPr>
        <w:spacing w:line="360" w:lineRule="auto"/>
        <w:jc w:val="both"/>
      </w:pPr>
    </w:p>
    <w:p w14:paraId="0CD8E1A5" w14:textId="5F288C25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PT ABC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membeli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aset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tidak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berwujud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izin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Izin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sering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diperdagangkan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diantara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Izin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diperoleh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PT ABC pada 1 Januari 2014 dengan harga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perolehan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200.000.000.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Umur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manfaatnya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5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dengan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metode garis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lurus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untuk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mengamortisasikannya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195548A" w14:textId="751ECF8F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Jawaban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775531E8" w14:textId="2E46B1E9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Harga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Perolehan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Nilai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Residu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/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Manfaat </w:t>
      </w:r>
    </w:p>
    <w:p w14:paraId="1A688F9D" w14:textId="5DF37050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200.000.000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/ 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5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</w:p>
    <w:p w14:paraId="385A371A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Rp 40.000.000/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</w:p>
    <w:p w14:paraId="4F2DF1BC" w14:textId="3A0D8940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Catatan: pada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soal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tidak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diketahui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nilai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residunya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dinyatakan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dengan 0</w:t>
      </w:r>
    </w:p>
    <w:p w14:paraId="0FDCEC60" w14:textId="77777777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09F9130" w14:textId="34573019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Jurnal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7491BABF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1 Januari 2014 </w:t>
      </w:r>
    </w:p>
    <w:p w14:paraId="15B62933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Izin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200.000.000</w:t>
      </w:r>
    </w:p>
    <w:p w14:paraId="185B838D" w14:textId="6B5C7EC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Kas Rp. 200.000.000 </w:t>
      </w:r>
    </w:p>
    <w:p w14:paraId="67DE9B94" w14:textId="77777777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90F3C96" w14:textId="77777777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49FBCD" w14:textId="77777777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D27EBC" w14:textId="18942B33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Jurnal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</w:p>
    <w:p w14:paraId="6B54A2D9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31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Desember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2014 </w:t>
      </w:r>
    </w:p>
    <w:p w14:paraId="28F853A6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40.000.000</w:t>
      </w:r>
    </w:p>
    <w:p w14:paraId="79EBD06D" w14:textId="3C4DAAC2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Akumulasi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40.000.000</w:t>
      </w:r>
    </w:p>
    <w:p w14:paraId="66A7E9D8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Maka nilai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aset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31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Desember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2014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200.000.000 - Rp. 40.000.000 = Rp. 160.000.000</w:t>
      </w:r>
    </w:p>
    <w:p w14:paraId="52C2F43C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7533572" w14:textId="111CB376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Lalu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dimisalkan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31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Desember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2015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izin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operator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dijual ke PT XYZ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seharga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Rp. 140.000.000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; Maka:</w:t>
      </w:r>
    </w:p>
    <w:p w14:paraId="3E362431" w14:textId="2F2CA3F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Harga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Perolehan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Biaya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Amortisasi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Rp. 200.000.000 - Rp. 80.000.000 (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berasal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manfaat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2014</w:t>
      </w: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2015,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artinya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40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juta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1B36D484" w14:textId="01EA711F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Nilai Aset = Rp. 120.000.000</w:t>
      </w:r>
    </w:p>
    <w:p w14:paraId="2183843A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Lalu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diperhitungkan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lagi: </w:t>
      </w:r>
    </w:p>
    <w:p w14:paraId="4D74685B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Nilai Wajar - Nilai Aset = Rp 140.000.000 - Rp 120.000.000</w:t>
      </w:r>
    </w:p>
    <w:p w14:paraId="05D4493F" w14:textId="77777777" w:rsidR="00FF65CD" w:rsidRP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Sisa = Rp 20.000.000</w:t>
      </w:r>
    </w:p>
    <w:p w14:paraId="6BA34F69" w14:textId="61511F2F" w:rsidR="00FF65CD" w:rsidRDefault="00FF65CD" w:rsidP="00FF65CD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Artinya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ABC mendapatkan keuntungan,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sebab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nilai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wajar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melebihi</w:t>
      </w:r>
      <w:proofErr w:type="spellEnd"/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nilai asset yang dimiliki sebanyak </w:t>
      </w:r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Rp 20.000.000. Keuntungan ini yang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dianggap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aset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tak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berwujud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FF65CD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56FAA07" w14:textId="04DF8557" w:rsidR="0001380A" w:rsidRDefault="0001380A" w:rsidP="009978F3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E0B1FFE" w14:textId="5BD70E64" w:rsidR="0001380A" w:rsidRDefault="0001380A" w:rsidP="009978F3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237B40" w14:textId="77777777" w:rsidR="00E15DC8" w:rsidRPr="0001380A" w:rsidRDefault="00E15DC8" w:rsidP="00997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EECE76" w14:textId="27DA8AA3" w:rsidR="002F601A" w:rsidRPr="00FF65CD" w:rsidRDefault="00E12016" w:rsidP="00FF65C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65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IV</w:t>
      </w:r>
    </w:p>
    <w:p w14:paraId="75736F1D" w14:textId="77777777" w:rsidR="00E12016" w:rsidRPr="00F64856" w:rsidRDefault="00E12016" w:rsidP="00FF65CD">
      <w:pPr>
        <w:pStyle w:val="Heading1"/>
        <w:jc w:val="center"/>
      </w:pPr>
      <w:r w:rsidRPr="00FF65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4D197440" w14:textId="77777777" w:rsidR="000A6760" w:rsidRPr="00F64856" w:rsidRDefault="000A6760" w:rsidP="009978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7A9B1A" w14:textId="7E44EF9F" w:rsidR="00E12016" w:rsidRPr="00F64856" w:rsidRDefault="000A6760" w:rsidP="009978F3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4856">
        <w:rPr>
          <w:rFonts w:ascii="Times New Roman" w:hAnsi="Times New Roman" w:cs="Times New Roman"/>
          <w:bCs/>
          <w:sz w:val="24"/>
          <w:szCs w:val="24"/>
        </w:rPr>
        <w:t xml:space="preserve">Aset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teridentifikasi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fisik. Aset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nonmoneter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didefinisikan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diterima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kas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jumlahnya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pasti atau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pengelompokkan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paten,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cipta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merek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dagang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franchise, goodwill,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item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diharuskan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kriteria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adanya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kemungkinan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ekonomik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masa depan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itu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dapat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diukur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secara handal dengan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atau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pada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perolehan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nilai. Pada model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pengakuan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dikurangi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akumulasi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rugi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penurunan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revaluasi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harus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mengungkapkan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dinilai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terbatasnya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sisa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periode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amortisasi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individual yang material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entitas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keberadaan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kepemilikannya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dibatasi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dijaminkan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liabilitas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jumlah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komitmen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kontraktual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akuisisi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aset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berwujud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hibah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dan pada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 xml:space="preserve"> pada nilai </w:t>
      </w:r>
      <w:proofErr w:type="spellStart"/>
      <w:r w:rsidRPr="00F64856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F648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A71ADB" w14:textId="77777777" w:rsidR="000A6760" w:rsidRPr="00F64856" w:rsidRDefault="000A6760" w:rsidP="009978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1FE050" w14:textId="77777777" w:rsidR="000A6760" w:rsidRPr="00F64856" w:rsidRDefault="000A6760" w:rsidP="000647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9D201E" w14:textId="77777777" w:rsidR="00E12016" w:rsidRPr="00FF65CD" w:rsidRDefault="00E12016" w:rsidP="00FF65C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65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</w:p>
    <w:p w14:paraId="783AEAE4" w14:textId="77777777" w:rsidR="00E86374" w:rsidRDefault="00E86374">
      <w:pPr>
        <w:autoSpaceDE w:val="0"/>
        <w:autoSpaceDN w:val="0"/>
        <w:ind w:hanging="480"/>
        <w:divId w:val="58406912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1124969757"/>
        <w:placeholder>
          <w:docPart w:val="DefaultPlaceholder_-1854013440"/>
        </w:placeholder>
      </w:sdtPr>
      <w:sdtContent>
        <w:p w14:paraId="42601F32" w14:textId="0B773BB9" w:rsidR="00E86374" w:rsidRDefault="00E86374" w:rsidP="00CE182A">
          <w:pPr>
            <w:autoSpaceDE w:val="0"/>
            <w:autoSpaceDN w:val="0"/>
            <w:ind w:hanging="480"/>
            <w:jc w:val="both"/>
            <w:divId w:val="584069120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Dela Mustapa, F., </w:t>
          </w:r>
          <w:proofErr w:type="spellStart"/>
          <w:r>
            <w:rPr>
              <w:rFonts w:eastAsia="Times New Roman"/>
            </w:rPr>
            <w:t>Widianingrum</w:t>
          </w:r>
          <w:proofErr w:type="spellEnd"/>
          <w:r>
            <w:rPr>
              <w:rFonts w:eastAsia="Times New Roman"/>
            </w:rPr>
            <w:t xml:space="preserve">, H., Agnia Astika, N., </w:t>
          </w:r>
          <w:proofErr w:type="spellStart"/>
          <w:r>
            <w:rPr>
              <w:rFonts w:eastAsia="Times New Roman"/>
            </w:rPr>
            <w:t>Andavira</w:t>
          </w:r>
          <w:proofErr w:type="spellEnd"/>
          <w:r>
            <w:rPr>
              <w:rFonts w:eastAsia="Times New Roman"/>
            </w:rPr>
            <w:t xml:space="preserve"> Raihana, S., Zelina </w:t>
          </w:r>
          <w:proofErr w:type="spellStart"/>
          <w:r>
            <w:rPr>
              <w:rFonts w:eastAsia="Times New Roman"/>
            </w:rPr>
            <w:t>Deaprila</w:t>
          </w:r>
          <w:proofErr w:type="spellEnd"/>
          <w:r>
            <w:rPr>
              <w:rFonts w:eastAsia="Times New Roman"/>
            </w:rPr>
            <w:t xml:space="preserve">, Z., &amp; </w:t>
          </w:r>
          <w:proofErr w:type="spellStart"/>
          <w:r>
            <w:rPr>
              <w:rFonts w:eastAsia="Times New Roman"/>
            </w:rPr>
            <w:t>Tresna</w:t>
          </w:r>
          <w:proofErr w:type="spellEnd"/>
          <w:r>
            <w:rPr>
              <w:rFonts w:eastAsia="Times New Roman"/>
            </w:rPr>
            <w:t xml:space="preserve"> Murti, G. (2022). Aset Tidak </w:t>
          </w:r>
          <w:proofErr w:type="spellStart"/>
          <w:r>
            <w:rPr>
              <w:rFonts w:eastAsia="Times New Roman"/>
            </w:rPr>
            <w:t>Berwujud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Berdasarkan</w:t>
          </w:r>
          <w:proofErr w:type="spellEnd"/>
          <w:r>
            <w:rPr>
              <w:rFonts w:eastAsia="Times New Roman"/>
            </w:rPr>
            <w:t xml:space="preserve"> PSAK 19 dan IAS 38.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Ilmiah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Multidisiplin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1</w:t>
          </w:r>
          <w:r>
            <w:rPr>
              <w:rFonts w:eastAsia="Times New Roman"/>
            </w:rPr>
            <w:t>(8).</w:t>
          </w:r>
        </w:p>
        <w:p w14:paraId="2E588D4F" w14:textId="6DE737A9" w:rsidR="00E86374" w:rsidRPr="00F64856" w:rsidRDefault="00000000" w:rsidP="009978F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E86374" w:rsidRPr="00F64856" w:rsidSect="00F64856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5C"/>
    <w:multiLevelType w:val="hybridMultilevel"/>
    <w:tmpl w:val="540E22EE"/>
    <w:lvl w:ilvl="0" w:tplc="C49E635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CC"/>
    <w:multiLevelType w:val="hybridMultilevel"/>
    <w:tmpl w:val="EE54D3FC"/>
    <w:lvl w:ilvl="0" w:tplc="19C4F9E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2A5"/>
    <w:multiLevelType w:val="hybridMultilevel"/>
    <w:tmpl w:val="51BE37EA"/>
    <w:lvl w:ilvl="0" w:tplc="19C4F9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12D62"/>
    <w:multiLevelType w:val="hybridMultilevel"/>
    <w:tmpl w:val="A04E3EFC"/>
    <w:lvl w:ilvl="0" w:tplc="C49E635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A7608"/>
    <w:multiLevelType w:val="hybridMultilevel"/>
    <w:tmpl w:val="BD36697A"/>
    <w:lvl w:ilvl="0" w:tplc="3809000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5" w15:restartNumberingAfterBreak="0">
    <w:nsid w:val="0D912022"/>
    <w:multiLevelType w:val="hybridMultilevel"/>
    <w:tmpl w:val="E05CE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C3783"/>
    <w:multiLevelType w:val="hybridMultilevel"/>
    <w:tmpl w:val="A1E0945E"/>
    <w:lvl w:ilvl="0" w:tplc="C49E635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D5237"/>
    <w:multiLevelType w:val="multilevel"/>
    <w:tmpl w:val="BE6837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0DE95E7B"/>
    <w:multiLevelType w:val="hybridMultilevel"/>
    <w:tmpl w:val="D3145FCC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6171A37"/>
    <w:multiLevelType w:val="multilevel"/>
    <w:tmpl w:val="542A62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3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7317A6"/>
    <w:multiLevelType w:val="hybridMultilevel"/>
    <w:tmpl w:val="DDD0F3C8"/>
    <w:lvl w:ilvl="0" w:tplc="9606C744">
      <w:start w:val="1"/>
      <w:numFmt w:val="decimal"/>
      <w:lvlText w:val="1.3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1607"/>
    <w:multiLevelType w:val="hybridMultilevel"/>
    <w:tmpl w:val="5F166120"/>
    <w:lvl w:ilvl="0" w:tplc="04090019">
      <w:start w:val="1"/>
      <w:numFmt w:val="lowerLetter"/>
      <w:lvlText w:val="%1."/>
      <w:lvlJc w:val="left"/>
      <w:pPr>
        <w:ind w:left="1380" w:hanging="360"/>
      </w:pPr>
    </w:lvl>
    <w:lvl w:ilvl="1" w:tplc="38090019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1EE1628B"/>
    <w:multiLevelType w:val="hybridMultilevel"/>
    <w:tmpl w:val="7B0273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357677"/>
    <w:multiLevelType w:val="hybridMultilevel"/>
    <w:tmpl w:val="F306D43A"/>
    <w:lvl w:ilvl="0" w:tplc="19C4F9E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C1FCD"/>
    <w:multiLevelType w:val="multilevel"/>
    <w:tmpl w:val="78EC8FEC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1"/>
      <w:lvlText w:val="%7.3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031375"/>
    <w:multiLevelType w:val="multilevel"/>
    <w:tmpl w:val="58982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E90E50"/>
    <w:multiLevelType w:val="hybridMultilevel"/>
    <w:tmpl w:val="B9600BBE"/>
    <w:lvl w:ilvl="0" w:tplc="19C4F9E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7A6626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93D25"/>
    <w:multiLevelType w:val="multilevel"/>
    <w:tmpl w:val="D6ECD6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3AAD3081"/>
    <w:multiLevelType w:val="hybridMultilevel"/>
    <w:tmpl w:val="282C63F2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FB1321C"/>
    <w:multiLevelType w:val="hybridMultilevel"/>
    <w:tmpl w:val="A1F6C318"/>
    <w:lvl w:ilvl="0" w:tplc="3809000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20" w15:restartNumberingAfterBreak="0">
    <w:nsid w:val="405F2E33"/>
    <w:multiLevelType w:val="hybridMultilevel"/>
    <w:tmpl w:val="A5B49942"/>
    <w:lvl w:ilvl="0" w:tplc="FF40D9BA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C868A0"/>
    <w:multiLevelType w:val="hybridMultilevel"/>
    <w:tmpl w:val="388CC47E"/>
    <w:lvl w:ilvl="0" w:tplc="19C4F9E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2669D"/>
    <w:multiLevelType w:val="hybridMultilevel"/>
    <w:tmpl w:val="A718C850"/>
    <w:lvl w:ilvl="0" w:tplc="19C4F9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E7492"/>
    <w:multiLevelType w:val="hybridMultilevel"/>
    <w:tmpl w:val="AA2CC432"/>
    <w:lvl w:ilvl="0" w:tplc="C49E63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710A"/>
    <w:multiLevelType w:val="hybridMultilevel"/>
    <w:tmpl w:val="4FF26E76"/>
    <w:lvl w:ilvl="0" w:tplc="BBF68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7D72E2"/>
    <w:multiLevelType w:val="multilevel"/>
    <w:tmpl w:val="6E2CE5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686B0C81"/>
    <w:multiLevelType w:val="hybridMultilevel"/>
    <w:tmpl w:val="A12481C4"/>
    <w:lvl w:ilvl="0" w:tplc="19C4F9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20DF4"/>
    <w:multiLevelType w:val="hybridMultilevel"/>
    <w:tmpl w:val="F68AA596"/>
    <w:lvl w:ilvl="0" w:tplc="C49E635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D55B8"/>
    <w:multiLevelType w:val="hybridMultilevel"/>
    <w:tmpl w:val="7750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30448"/>
    <w:multiLevelType w:val="hybridMultilevel"/>
    <w:tmpl w:val="F774BAEC"/>
    <w:lvl w:ilvl="0" w:tplc="C49E63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C5F6D"/>
    <w:multiLevelType w:val="hybridMultilevel"/>
    <w:tmpl w:val="00424F78"/>
    <w:lvl w:ilvl="0" w:tplc="C49E63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71DE4"/>
    <w:multiLevelType w:val="hybridMultilevel"/>
    <w:tmpl w:val="763E9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DF56BF"/>
    <w:multiLevelType w:val="multilevel"/>
    <w:tmpl w:val="27BCB0C2"/>
    <w:lvl w:ilvl="0">
      <w:start w:val="1"/>
      <w:numFmt w:val="decimal"/>
      <w:lvlText w:val="2.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B251D97"/>
    <w:multiLevelType w:val="multilevel"/>
    <w:tmpl w:val="78EC8FEC"/>
    <w:numStyleLink w:val="Style1"/>
  </w:abstractNum>
  <w:num w:numId="1" w16cid:durableId="223755325">
    <w:abstractNumId w:val="13"/>
  </w:num>
  <w:num w:numId="2" w16cid:durableId="1605768031">
    <w:abstractNumId w:val="13"/>
  </w:num>
  <w:num w:numId="3" w16cid:durableId="1773620477">
    <w:abstractNumId w:val="0"/>
  </w:num>
  <w:num w:numId="4" w16cid:durableId="529337629">
    <w:abstractNumId w:val="3"/>
  </w:num>
  <w:num w:numId="5" w16cid:durableId="481235933">
    <w:abstractNumId w:val="5"/>
  </w:num>
  <w:num w:numId="6" w16cid:durableId="2130665697">
    <w:abstractNumId w:val="9"/>
  </w:num>
  <w:num w:numId="7" w16cid:durableId="1408377448">
    <w:abstractNumId w:val="14"/>
  </w:num>
  <w:num w:numId="8" w16cid:durableId="1094211062">
    <w:abstractNumId w:val="33"/>
  </w:num>
  <w:num w:numId="9" w16cid:durableId="456602579">
    <w:abstractNumId w:val="10"/>
  </w:num>
  <w:num w:numId="10" w16cid:durableId="1837963775">
    <w:abstractNumId w:val="27"/>
  </w:num>
  <w:num w:numId="11" w16cid:durableId="73859512">
    <w:abstractNumId w:val="6"/>
  </w:num>
  <w:num w:numId="12" w16cid:durableId="1055814427">
    <w:abstractNumId w:val="12"/>
  </w:num>
  <w:num w:numId="13" w16cid:durableId="355736272">
    <w:abstractNumId w:val="25"/>
  </w:num>
  <w:num w:numId="14" w16cid:durableId="1713848032">
    <w:abstractNumId w:val="28"/>
  </w:num>
  <w:num w:numId="15" w16cid:durableId="1492216644">
    <w:abstractNumId w:val="2"/>
  </w:num>
  <w:num w:numId="16" w16cid:durableId="377315413">
    <w:abstractNumId w:val="31"/>
  </w:num>
  <w:num w:numId="17" w16cid:durableId="1243224400">
    <w:abstractNumId w:val="17"/>
  </w:num>
  <w:num w:numId="18" w16cid:durableId="394938665">
    <w:abstractNumId w:val="24"/>
  </w:num>
  <w:num w:numId="19" w16cid:durableId="577978660">
    <w:abstractNumId w:val="20"/>
  </w:num>
  <w:num w:numId="20" w16cid:durableId="443889326">
    <w:abstractNumId w:val="19"/>
  </w:num>
  <w:num w:numId="21" w16cid:durableId="813643880">
    <w:abstractNumId w:val="4"/>
  </w:num>
  <w:num w:numId="22" w16cid:durableId="253394734">
    <w:abstractNumId w:val="8"/>
  </w:num>
  <w:num w:numId="23" w16cid:durableId="1268587362">
    <w:abstractNumId w:val="30"/>
  </w:num>
  <w:num w:numId="24" w16cid:durableId="1791389662">
    <w:abstractNumId w:val="29"/>
  </w:num>
  <w:num w:numId="25" w16cid:durableId="1651858314">
    <w:abstractNumId w:val="13"/>
  </w:num>
  <w:num w:numId="26" w16cid:durableId="754866063">
    <w:abstractNumId w:val="13"/>
  </w:num>
  <w:num w:numId="27" w16cid:durableId="700059156">
    <w:abstractNumId w:val="23"/>
  </w:num>
  <w:num w:numId="28" w16cid:durableId="1125850704">
    <w:abstractNumId w:val="15"/>
  </w:num>
  <w:num w:numId="29" w16cid:durableId="686835731">
    <w:abstractNumId w:val="16"/>
  </w:num>
  <w:num w:numId="30" w16cid:durableId="1123689190">
    <w:abstractNumId w:val="1"/>
  </w:num>
  <w:num w:numId="31" w16cid:durableId="948779561">
    <w:abstractNumId w:val="21"/>
  </w:num>
  <w:num w:numId="32" w16cid:durableId="693070098">
    <w:abstractNumId w:val="26"/>
  </w:num>
  <w:num w:numId="33" w16cid:durableId="1877500123">
    <w:abstractNumId w:val="7"/>
  </w:num>
  <w:num w:numId="34" w16cid:durableId="1970821503">
    <w:abstractNumId w:val="22"/>
  </w:num>
  <w:num w:numId="35" w16cid:durableId="1238321818">
    <w:abstractNumId w:val="32"/>
  </w:num>
  <w:num w:numId="36" w16cid:durableId="748504603">
    <w:abstractNumId w:val="18"/>
  </w:num>
  <w:num w:numId="37" w16cid:durableId="239218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072"/>
    <w:rsid w:val="0001380A"/>
    <w:rsid w:val="00057952"/>
    <w:rsid w:val="00064770"/>
    <w:rsid w:val="000833D8"/>
    <w:rsid w:val="000A31AA"/>
    <w:rsid w:val="000A6760"/>
    <w:rsid w:val="000C7072"/>
    <w:rsid w:val="000F52E0"/>
    <w:rsid w:val="00163392"/>
    <w:rsid w:val="001B6F12"/>
    <w:rsid w:val="00205DE0"/>
    <w:rsid w:val="00281435"/>
    <w:rsid w:val="002A5D1A"/>
    <w:rsid w:val="002A70CB"/>
    <w:rsid w:val="002D2E1C"/>
    <w:rsid w:val="002F601A"/>
    <w:rsid w:val="0030074E"/>
    <w:rsid w:val="0032684A"/>
    <w:rsid w:val="003961AB"/>
    <w:rsid w:val="003B632E"/>
    <w:rsid w:val="003C6986"/>
    <w:rsid w:val="00422D61"/>
    <w:rsid w:val="00494999"/>
    <w:rsid w:val="004B210D"/>
    <w:rsid w:val="004D42C8"/>
    <w:rsid w:val="004D68DA"/>
    <w:rsid w:val="0050445A"/>
    <w:rsid w:val="006121B8"/>
    <w:rsid w:val="0067420B"/>
    <w:rsid w:val="006803CA"/>
    <w:rsid w:val="006F7EE3"/>
    <w:rsid w:val="007B70DD"/>
    <w:rsid w:val="007E25D4"/>
    <w:rsid w:val="008101F0"/>
    <w:rsid w:val="0081454D"/>
    <w:rsid w:val="00834AB6"/>
    <w:rsid w:val="00865520"/>
    <w:rsid w:val="00866E33"/>
    <w:rsid w:val="008D5A73"/>
    <w:rsid w:val="009536C8"/>
    <w:rsid w:val="009978F3"/>
    <w:rsid w:val="00AB62FF"/>
    <w:rsid w:val="00B06030"/>
    <w:rsid w:val="00BA1FB4"/>
    <w:rsid w:val="00C07106"/>
    <w:rsid w:val="00C334E4"/>
    <w:rsid w:val="00C3602A"/>
    <w:rsid w:val="00CE182A"/>
    <w:rsid w:val="00D067D5"/>
    <w:rsid w:val="00D82283"/>
    <w:rsid w:val="00DC380D"/>
    <w:rsid w:val="00DE2E12"/>
    <w:rsid w:val="00E12016"/>
    <w:rsid w:val="00E15DC8"/>
    <w:rsid w:val="00E37229"/>
    <w:rsid w:val="00E434C6"/>
    <w:rsid w:val="00E86374"/>
    <w:rsid w:val="00EC212F"/>
    <w:rsid w:val="00F21F9B"/>
    <w:rsid w:val="00F551BF"/>
    <w:rsid w:val="00F64856"/>
    <w:rsid w:val="00FB78EF"/>
    <w:rsid w:val="00FF65CD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FE51"/>
  <w15:docId w15:val="{1FEFAB01-8C1D-419D-BDDE-714796D5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72"/>
  </w:style>
  <w:style w:type="paragraph" w:styleId="Heading1">
    <w:name w:val="heading 1"/>
    <w:basedOn w:val="Normal"/>
    <w:next w:val="Normal"/>
    <w:link w:val="Heading1Char"/>
    <w:uiPriority w:val="9"/>
    <w:qFormat/>
    <w:rsid w:val="00205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DD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0DD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0C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229"/>
    <w:pPr>
      <w:ind w:left="720"/>
      <w:contextualSpacing/>
    </w:pPr>
  </w:style>
  <w:style w:type="numbering" w:customStyle="1" w:styleId="Style1">
    <w:name w:val="Style1"/>
    <w:uiPriority w:val="99"/>
    <w:rsid w:val="00865520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3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D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a"/>
    <w:basedOn w:val="DefaultParagraphFont"/>
    <w:rsid w:val="0001380A"/>
  </w:style>
  <w:style w:type="character" w:customStyle="1" w:styleId="l6">
    <w:name w:val="l6"/>
    <w:basedOn w:val="DefaultParagraphFont"/>
    <w:rsid w:val="0001380A"/>
  </w:style>
  <w:style w:type="character" w:customStyle="1" w:styleId="l">
    <w:name w:val="l"/>
    <w:basedOn w:val="DefaultParagraphFont"/>
    <w:rsid w:val="0001380A"/>
  </w:style>
  <w:style w:type="character" w:customStyle="1" w:styleId="l7">
    <w:name w:val="l7"/>
    <w:basedOn w:val="DefaultParagraphFont"/>
    <w:rsid w:val="0001380A"/>
  </w:style>
  <w:style w:type="character" w:customStyle="1" w:styleId="l8">
    <w:name w:val="l8"/>
    <w:basedOn w:val="DefaultParagraphFont"/>
    <w:rsid w:val="0001380A"/>
  </w:style>
  <w:style w:type="character" w:customStyle="1" w:styleId="l9">
    <w:name w:val="l9"/>
    <w:basedOn w:val="DefaultParagraphFont"/>
    <w:rsid w:val="0001380A"/>
  </w:style>
  <w:style w:type="character" w:customStyle="1" w:styleId="l10">
    <w:name w:val="l10"/>
    <w:basedOn w:val="DefaultParagraphFont"/>
    <w:rsid w:val="0001380A"/>
  </w:style>
  <w:style w:type="character" w:styleId="PlaceholderText">
    <w:name w:val="Placeholder Text"/>
    <w:basedOn w:val="DefaultParagraphFont"/>
    <w:uiPriority w:val="99"/>
    <w:semiHidden/>
    <w:rsid w:val="00E863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9061-0FD9-4F45-85B8-F83D7B12C283}"/>
      </w:docPartPr>
      <w:docPartBody>
        <w:p w:rsidR="00664742" w:rsidRDefault="006836B5">
          <w:r w:rsidRPr="005546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B5"/>
    <w:rsid w:val="003F20BF"/>
    <w:rsid w:val="00664742"/>
    <w:rsid w:val="006836B5"/>
    <w:rsid w:val="00E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6B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E18265-A5B3-4300-AA73-A2554088D608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BD416-5F0D-4585-9DA0-E2883515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20</Pages>
  <Words>3559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Wenny</dc:creator>
  <cp:lastModifiedBy>Andri Firman Saputra</cp:lastModifiedBy>
  <cp:revision>11</cp:revision>
  <dcterms:created xsi:type="dcterms:W3CDTF">2023-11-12T08:03:00Z</dcterms:created>
  <dcterms:modified xsi:type="dcterms:W3CDTF">2023-11-18T14:20:00Z</dcterms:modified>
</cp:coreProperties>
</file>