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6553" w14:textId="738BED8F" w:rsidR="004E0193" w:rsidRPr="00E81FDB" w:rsidRDefault="00E81FDB" w:rsidP="00E81FD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Модуль 2: Финансово-экономическое планирование в секторе государственного и муниципального управления и организация исполнения бюджетов бюджетной системы Российской Федерации</w:t>
      </w:r>
    </w:p>
    <w:p w14:paraId="5A2578C4" w14:textId="081B41DB" w:rsidR="00E81FDB" w:rsidRDefault="00E81FDB" w:rsidP="00241E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BA1F0A" w14:textId="147EDC64" w:rsidR="00241E5E" w:rsidRDefault="00241E5E" w:rsidP="00241E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593E8482" w14:textId="1A1CAD45" w:rsidR="00E81FDB" w:rsidRDefault="00E81FDB" w:rsidP="00E81F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имеющихся данных был составлен бюджет </w:t>
      </w:r>
      <w:r w:rsidRPr="00E81FDB">
        <w:rPr>
          <w:rFonts w:ascii="Times New Roman" w:hAnsi="Times New Roman" w:cs="Times New Roman"/>
          <w:sz w:val="28"/>
          <w:szCs w:val="28"/>
        </w:rPr>
        <w:t>Губкинского городского округа за период</w:t>
      </w:r>
      <w:r>
        <w:rPr>
          <w:rFonts w:ascii="Times New Roman" w:hAnsi="Times New Roman" w:cs="Times New Roman"/>
          <w:sz w:val="28"/>
          <w:szCs w:val="28"/>
        </w:rPr>
        <w:t xml:space="preserve">. В таблице 1 представлены доходы </w:t>
      </w:r>
      <w:r w:rsidRPr="00E81FDB">
        <w:rPr>
          <w:rFonts w:ascii="Times New Roman" w:hAnsi="Times New Roman" w:cs="Times New Roman"/>
          <w:sz w:val="28"/>
          <w:szCs w:val="28"/>
        </w:rPr>
        <w:t>Губкинского городского округа,</w:t>
      </w:r>
      <w:r w:rsidRPr="00E81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составили </w:t>
      </w:r>
      <w:r w:rsidRPr="00E81FDB">
        <w:rPr>
          <w:rFonts w:ascii="Times New Roman" w:hAnsi="Times New Roman" w:cs="Times New Roman"/>
          <w:sz w:val="28"/>
          <w:szCs w:val="28"/>
        </w:rPr>
        <w:t>за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FDB">
        <w:rPr>
          <w:rFonts w:ascii="Times New Roman" w:hAnsi="Times New Roman" w:cs="Times New Roman"/>
          <w:sz w:val="28"/>
          <w:szCs w:val="28"/>
        </w:rPr>
        <w:t>8 967 889,00</w:t>
      </w:r>
      <w:r>
        <w:rPr>
          <w:rFonts w:ascii="Times New Roman" w:hAnsi="Times New Roman" w:cs="Times New Roman"/>
          <w:sz w:val="28"/>
          <w:szCs w:val="28"/>
        </w:rPr>
        <w:t xml:space="preserve"> тыс.руб. Д</w:t>
      </w:r>
      <w:r w:rsidRPr="00E81FDB">
        <w:rPr>
          <w:rFonts w:ascii="Times New Roman" w:hAnsi="Times New Roman" w:cs="Times New Roman"/>
          <w:sz w:val="28"/>
          <w:szCs w:val="28"/>
        </w:rPr>
        <w:t>оходы бюджета - поступающие в бюджет денежные средства, за исключением средств, являющихся в соответствии с настоящим Кодексом источниками финансирования дефицита бюджета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DC72F4" w14:textId="08D4B85C" w:rsidR="00E81FDB" w:rsidRPr="00E81FDB" w:rsidRDefault="00E81FDB" w:rsidP="00E81F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</w:t>
      </w:r>
      <w:r>
        <w:rPr>
          <w:rFonts w:ascii="Times New Roman" w:hAnsi="Times New Roman" w:cs="Times New Roman"/>
          <w:sz w:val="28"/>
          <w:szCs w:val="28"/>
        </w:rPr>
        <w:t>расходы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FDB">
        <w:rPr>
          <w:rFonts w:ascii="Times New Roman" w:hAnsi="Times New Roman" w:cs="Times New Roman"/>
          <w:sz w:val="28"/>
          <w:szCs w:val="28"/>
        </w:rPr>
        <w:t xml:space="preserve">Губкинского городского округа, </w:t>
      </w:r>
      <w:r>
        <w:rPr>
          <w:rFonts w:ascii="Times New Roman" w:hAnsi="Times New Roman" w:cs="Times New Roman"/>
          <w:sz w:val="28"/>
          <w:szCs w:val="28"/>
        </w:rPr>
        <w:t xml:space="preserve">который составили </w:t>
      </w:r>
      <w:r w:rsidRPr="00E81FDB">
        <w:rPr>
          <w:rFonts w:ascii="Times New Roman" w:hAnsi="Times New Roman" w:cs="Times New Roman"/>
          <w:sz w:val="28"/>
          <w:szCs w:val="28"/>
        </w:rPr>
        <w:t>за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1FDB">
        <w:rPr>
          <w:rFonts w:ascii="Times New Roman" w:hAnsi="Times New Roman" w:cs="Times New Roman"/>
          <w:sz w:val="28"/>
          <w:szCs w:val="28"/>
        </w:rPr>
        <w:t>9 237 842,00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тыс.руб.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81FDB">
        <w:rPr>
          <w:rFonts w:ascii="Times New Roman" w:hAnsi="Times New Roman" w:cs="Times New Roman"/>
          <w:sz w:val="28"/>
          <w:szCs w:val="28"/>
        </w:rPr>
        <w:t>асходы бюджета - выплачиваемые из бюджета денежные средства, за исключением средств, являющихся в соответствии с настоящим Кодексом источниками финансирования дефицита бюджета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B4C07" w14:textId="67A44BD7" w:rsidR="00E81FDB" w:rsidRDefault="00E81FDB" w:rsidP="00E81F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был определен дефицит бюджета в размере </w:t>
      </w:r>
      <w:r w:rsidRPr="00E81FDB">
        <w:rPr>
          <w:rFonts w:ascii="Times New Roman" w:hAnsi="Times New Roman" w:cs="Times New Roman"/>
          <w:sz w:val="28"/>
          <w:szCs w:val="28"/>
        </w:rPr>
        <w:t>-269 953,00</w:t>
      </w:r>
      <w:r>
        <w:rPr>
          <w:rFonts w:ascii="Times New Roman" w:hAnsi="Times New Roman" w:cs="Times New Roman"/>
          <w:sz w:val="28"/>
          <w:szCs w:val="28"/>
        </w:rPr>
        <w:t xml:space="preserve"> тыс.руб. Д</w:t>
      </w:r>
      <w:r w:rsidRPr="00E81FDB">
        <w:rPr>
          <w:rFonts w:ascii="Times New Roman" w:hAnsi="Times New Roman" w:cs="Times New Roman"/>
          <w:sz w:val="28"/>
          <w:szCs w:val="28"/>
        </w:rPr>
        <w:t>ефицит бюджета - превышение расходов бюджета над его доходами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E81FDB">
        <w:rPr>
          <w:rFonts w:ascii="Times New Roman" w:hAnsi="Times New Roman" w:cs="Times New Roman"/>
          <w:sz w:val="28"/>
          <w:szCs w:val="28"/>
        </w:rPr>
        <w:t>рофицит бюджета - превышение доходов бюджета над его расходами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7E79C1" w14:textId="77777777" w:rsidR="00E81FDB" w:rsidRPr="00E81FDB" w:rsidRDefault="00E81FDB" w:rsidP="00E81F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В состав источников внутреннего финансирования дефицита местного бюджета включаются:</w:t>
      </w:r>
    </w:p>
    <w:p w14:paraId="3DD2689A" w14:textId="77777777" w:rsidR="00E81FDB" w:rsidRPr="00E81FDB" w:rsidRDefault="00E81FDB" w:rsidP="00E81F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разница между средствами, поступившими от размещения муниципальных ценных бумаг, номинальная стоимость которых указана в валюте Российской Федерации, и средствами, направленными на их погашение;</w:t>
      </w:r>
    </w:p>
    <w:p w14:paraId="101EA792" w14:textId="61F87CD2" w:rsidR="00E81FDB" w:rsidRPr="00E81FDB" w:rsidRDefault="00E81FDB" w:rsidP="00E81F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разница между привлеченными и погашенными муниципальным образованием кредитами кредитных организаций в валюте Российской Федерации;</w:t>
      </w:r>
    </w:p>
    <w:p w14:paraId="1970BF57" w14:textId="758660EB" w:rsidR="00E81FDB" w:rsidRPr="00E81FDB" w:rsidRDefault="00E81FDB" w:rsidP="00E81F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 xml:space="preserve">разница между привлеченными и погашенными муниципальным образованием в валюте Российской Федерации бюджетными кредитами, </w:t>
      </w:r>
      <w:r w:rsidRPr="00E81FDB">
        <w:rPr>
          <w:rFonts w:ascii="Times New Roman" w:hAnsi="Times New Roman" w:cs="Times New Roman"/>
          <w:sz w:val="28"/>
          <w:szCs w:val="28"/>
        </w:rPr>
        <w:lastRenderedPageBreak/>
        <w:t>предоставленными местному бюджету другими бюджетами бюджетной системы Российской Федерации;</w:t>
      </w:r>
    </w:p>
    <w:p w14:paraId="7E5F4785" w14:textId="3F411D58" w:rsidR="00E81FDB" w:rsidRPr="00E81FDB" w:rsidRDefault="00E81FDB" w:rsidP="00E81F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изменение остатков средств на счетах по учету средств местного бюджета в течение соответствующего финансового года;</w:t>
      </w:r>
    </w:p>
    <w:p w14:paraId="24FE525F" w14:textId="02993EE5" w:rsidR="00E81FDB" w:rsidRDefault="00E81FDB" w:rsidP="00E81FD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иные источники внутреннего финансирования дефицита местного бюджета.</w:t>
      </w:r>
    </w:p>
    <w:p w14:paraId="4C0E784F" w14:textId="5CBF8E94" w:rsidR="00E81FDB" w:rsidRDefault="00E81FDB" w:rsidP="00E81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t>Анализ структуры доходов Губкинского городского округа за период</w:t>
      </w:r>
      <w:r>
        <w:rPr>
          <w:rFonts w:ascii="Times New Roman" w:hAnsi="Times New Roman" w:cs="Times New Roman"/>
          <w:sz w:val="28"/>
          <w:szCs w:val="28"/>
        </w:rPr>
        <w:t>, представленный в таблице 3, показал, что наибольшую долю в составе доходов занимают безвозмездные поступления 68,80% (Рисунок 1).</w:t>
      </w:r>
    </w:p>
    <w:p w14:paraId="3BCDAE50" w14:textId="5CA51824" w:rsidR="00E81FDB" w:rsidRDefault="00E81FDB" w:rsidP="00E81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BF831" w14:textId="58BAD0A6" w:rsidR="00E81FDB" w:rsidRDefault="00E81FDB" w:rsidP="00E81FD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9446A" wp14:editId="2C851249">
            <wp:extent cx="6092190" cy="3912781"/>
            <wp:effectExtent l="0" t="0" r="3810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34D2FA-E254-49F4-B952-BE8BFF18C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E35E14" w14:textId="419BC729" w:rsidR="00E81FDB" w:rsidRDefault="00E81FDB" w:rsidP="00E81FD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 </w:t>
      </w:r>
      <w:r w:rsidRPr="00E81FDB">
        <w:rPr>
          <w:rFonts w:ascii="Times New Roman" w:hAnsi="Times New Roman" w:cs="Times New Roman"/>
          <w:sz w:val="28"/>
          <w:szCs w:val="28"/>
        </w:rPr>
        <w:t>Анализ структуры доходов Губкинского городского округа за период</w:t>
      </w:r>
      <w:r>
        <w:rPr>
          <w:rFonts w:ascii="Times New Roman" w:hAnsi="Times New Roman" w:cs="Times New Roman"/>
          <w:sz w:val="28"/>
          <w:szCs w:val="28"/>
        </w:rPr>
        <w:t>, %</w:t>
      </w:r>
    </w:p>
    <w:p w14:paraId="10344FA8" w14:textId="77777777" w:rsidR="00E81FDB" w:rsidRDefault="00E81FDB" w:rsidP="00E81FD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FDDEA5" w14:textId="5802CA7A" w:rsidR="00E81FDB" w:rsidRDefault="00E81FDB" w:rsidP="00E81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Земельный налог составляет 13,76%, удельный вес налога на доходы физических лиц равен 10,52%. Доля занимаемая остальными доходами составляет менее 5%.</w:t>
      </w:r>
    </w:p>
    <w:p w14:paraId="7E1E7FE3" w14:textId="34E3010F" w:rsidR="00E81FDB" w:rsidRDefault="00E81FDB" w:rsidP="00E81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FDB">
        <w:rPr>
          <w:rFonts w:ascii="Times New Roman" w:hAnsi="Times New Roman" w:cs="Times New Roman"/>
          <w:sz w:val="28"/>
          <w:szCs w:val="28"/>
        </w:rPr>
        <w:lastRenderedPageBreak/>
        <w:t>Анализ структуры расходов Губкинского городского округа за период</w:t>
      </w:r>
      <w:r>
        <w:rPr>
          <w:rFonts w:ascii="Times New Roman" w:hAnsi="Times New Roman" w:cs="Times New Roman"/>
          <w:sz w:val="28"/>
          <w:szCs w:val="28"/>
        </w:rPr>
        <w:t xml:space="preserve"> показал, что </w:t>
      </w:r>
      <w:r w:rsidR="00F008D3">
        <w:rPr>
          <w:rFonts w:ascii="Times New Roman" w:hAnsi="Times New Roman" w:cs="Times New Roman"/>
          <w:sz w:val="28"/>
          <w:szCs w:val="28"/>
        </w:rPr>
        <w:t xml:space="preserve">что наибольшую долю в составе </w:t>
      </w:r>
      <w:r w:rsidR="00F008D3">
        <w:rPr>
          <w:rFonts w:ascii="Times New Roman" w:hAnsi="Times New Roman" w:cs="Times New Roman"/>
          <w:sz w:val="28"/>
          <w:szCs w:val="28"/>
        </w:rPr>
        <w:t>расходов</w:t>
      </w:r>
      <w:r w:rsidR="00F008D3">
        <w:rPr>
          <w:rFonts w:ascii="Times New Roman" w:hAnsi="Times New Roman" w:cs="Times New Roman"/>
          <w:sz w:val="28"/>
          <w:szCs w:val="28"/>
        </w:rPr>
        <w:t xml:space="preserve"> занима</w:t>
      </w:r>
      <w:r w:rsidR="00F008D3">
        <w:rPr>
          <w:rFonts w:ascii="Times New Roman" w:hAnsi="Times New Roman" w:cs="Times New Roman"/>
          <w:sz w:val="28"/>
          <w:szCs w:val="28"/>
        </w:rPr>
        <w:t>ет дошкольное образования</w:t>
      </w:r>
      <w:r w:rsidR="00F008D3">
        <w:rPr>
          <w:rFonts w:ascii="Times New Roman" w:hAnsi="Times New Roman" w:cs="Times New Roman"/>
          <w:sz w:val="28"/>
          <w:szCs w:val="28"/>
        </w:rPr>
        <w:t xml:space="preserve"> </w:t>
      </w:r>
      <w:r w:rsidR="00F008D3">
        <w:rPr>
          <w:rFonts w:ascii="Times New Roman" w:hAnsi="Times New Roman" w:cs="Times New Roman"/>
          <w:sz w:val="28"/>
          <w:szCs w:val="28"/>
        </w:rPr>
        <w:t>31,88</w:t>
      </w:r>
      <w:r w:rsidR="00F008D3">
        <w:rPr>
          <w:rFonts w:ascii="Times New Roman" w:hAnsi="Times New Roman" w:cs="Times New Roman"/>
          <w:sz w:val="28"/>
          <w:szCs w:val="28"/>
        </w:rPr>
        <w:t>%</w:t>
      </w:r>
      <w:r w:rsidR="00F008D3">
        <w:rPr>
          <w:rFonts w:ascii="Times New Roman" w:hAnsi="Times New Roman" w:cs="Times New Roman"/>
          <w:sz w:val="28"/>
          <w:szCs w:val="28"/>
        </w:rPr>
        <w:t xml:space="preserve"> </w:t>
      </w:r>
      <w:r w:rsidR="00F008D3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008D3">
        <w:rPr>
          <w:rFonts w:ascii="Times New Roman" w:hAnsi="Times New Roman" w:cs="Times New Roman"/>
          <w:sz w:val="28"/>
          <w:szCs w:val="28"/>
        </w:rPr>
        <w:t>2</w:t>
      </w:r>
      <w:r w:rsidR="00F008D3">
        <w:rPr>
          <w:rFonts w:ascii="Times New Roman" w:hAnsi="Times New Roman" w:cs="Times New Roman"/>
          <w:sz w:val="28"/>
          <w:szCs w:val="28"/>
        </w:rPr>
        <w:t>).</w:t>
      </w:r>
    </w:p>
    <w:p w14:paraId="02BEA76F" w14:textId="672A04D8" w:rsidR="00F008D3" w:rsidRDefault="00F008D3" w:rsidP="00E81FD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8C32A" w14:textId="54C64A83" w:rsidR="00F008D3" w:rsidRDefault="00F008D3" w:rsidP="00F008D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49030" wp14:editId="1669BC89">
            <wp:extent cx="5975350" cy="4348716"/>
            <wp:effectExtent l="0" t="0" r="6350" b="1397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2681537-CE52-48D3-9E42-2EE065B569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2558C8" w14:textId="03AC63C9" w:rsidR="00F008D3" w:rsidRDefault="00F008D3" w:rsidP="00F008D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F008D3">
        <w:rPr>
          <w:rFonts w:ascii="Times New Roman" w:hAnsi="Times New Roman" w:cs="Times New Roman"/>
          <w:sz w:val="28"/>
          <w:szCs w:val="28"/>
        </w:rPr>
        <w:t>Анализ структуры расходов Губкинского городского округа за период</w:t>
      </w:r>
    </w:p>
    <w:p w14:paraId="077CC680" w14:textId="58D7E3FB" w:rsidR="00F008D3" w:rsidRDefault="00F008D3" w:rsidP="00F008D3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D51F8F6" w14:textId="1747EDC3" w:rsidR="00F008D3" w:rsidRDefault="00F008D3" w:rsidP="00F008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Жилищно-коммунальное хозяйство составляет 19,32%, удельный вес национальной экономики 16,93%, социальная политика занимает 15,02%, остальные расходы составляют менее 8%.</w:t>
      </w:r>
    </w:p>
    <w:p w14:paraId="5313A9AB" w14:textId="77777777" w:rsidR="00F008D3" w:rsidRDefault="00F008D3" w:rsidP="00F00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проведенного анализа составленного местного бюджета можно выделить следующие риски. Законодательный риск, который возникает вследствие введения новых законодательных актов или изменения уже существующих нормативно-правовых документов. Риск снижения поступления от реального сектора экономики вследствие убыточности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предприятий, данный риск оказывает негативное последствие не только на исполнение бюджета, но и для социально-экономического развития в целом. </w:t>
      </w:r>
    </w:p>
    <w:p w14:paraId="3460E195" w14:textId="77777777" w:rsidR="00F008D3" w:rsidRDefault="00F008D3" w:rsidP="00F00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проведенного анализа с учетом выявленных рисков были предложены следующие рекомендации. </w:t>
      </w:r>
    </w:p>
    <w:p w14:paraId="03BAF084" w14:textId="77777777" w:rsidR="00F008D3" w:rsidRDefault="00F008D3" w:rsidP="00F00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Принятие мер по выявление недобросовестных налогоплательщиков являющихся получателями бюджетных средств. Принятие мер по снижению задолженности по налоговых и неналоговым поступления в бюджет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A9B432" w14:textId="77777777" w:rsidR="00F008D3" w:rsidRDefault="00F008D3" w:rsidP="00F00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ежемесячного контроля за поступлением платежей от крупных налогоплательщиков, а также ежеквартального мониторинга состояния расчётов с бюджетом предприятия;</w:t>
      </w:r>
    </w:p>
    <w:p w14:paraId="4A72BD80" w14:textId="77777777" w:rsidR="00F008D3" w:rsidRDefault="00F008D3" w:rsidP="00F00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Дифференциация плательщиков НДФ в зависимости от получаемых доходов;</w:t>
      </w:r>
    </w:p>
    <w:p w14:paraId="2EDCC173" w14:textId="77777777" w:rsidR="00F008D3" w:rsidRDefault="00F008D3" w:rsidP="00F00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коммерческих организаций на предмет незаконного трудоустройства;</w:t>
      </w:r>
    </w:p>
    <w:p w14:paraId="65F62C78" w14:textId="42BBB2AC" w:rsidR="00F008D3" w:rsidRPr="00354790" w:rsidRDefault="00F008D3" w:rsidP="00F00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Организация постоянного мониторинга поступления налоговых и неналоговых доходов,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90">
        <w:rPr>
          <w:rFonts w:ascii="Times New Roman" w:hAnsi="Times New Roman" w:cs="Times New Roman"/>
          <w:sz w:val="28"/>
          <w:szCs w:val="28"/>
        </w:rPr>
        <w:t>создание актуальной налоговой базы, п</w:t>
      </w:r>
      <w:r>
        <w:rPr>
          <w:rFonts w:ascii="Times New Roman" w:hAnsi="Times New Roman" w:cs="Times New Roman"/>
          <w:sz w:val="28"/>
          <w:szCs w:val="28"/>
        </w:rPr>
        <w:t>ров</w:t>
      </w:r>
      <w:r w:rsidRPr="00354790">
        <w:rPr>
          <w:rFonts w:ascii="Times New Roman" w:hAnsi="Times New Roman" w:cs="Times New Roman"/>
          <w:sz w:val="28"/>
          <w:szCs w:val="28"/>
        </w:rPr>
        <w:t>едение инвентаризации на территории и постановка имущество на учет.</w:t>
      </w:r>
    </w:p>
    <w:p w14:paraId="3014F3AD" w14:textId="77777777" w:rsidR="00F008D3" w:rsidRPr="00354790" w:rsidRDefault="00F008D3" w:rsidP="00F00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К бюджетным мерам принуждения относятся</w:t>
      </w:r>
      <w:r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306.1 </w:t>
      </w:r>
      <w:proofErr w:type="spellStart"/>
      <w:r>
        <w:rPr>
          <w:rFonts w:ascii="Times New Roman" w:hAnsi="Times New Roman" w:cs="Times New Roman"/>
          <w:sz w:val="28"/>
          <w:szCs w:val="28"/>
        </w:rPr>
        <w:t>бк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рф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D505E5" w14:textId="77777777" w:rsidR="00F008D3" w:rsidRDefault="00F008D3" w:rsidP="00F008D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бесспорное взыскание суммы средств, предоставленных из одного бюджета бюджетной системы Российской Федерации другому бюджету бюджетной системы Российской Федерации;</w:t>
      </w:r>
    </w:p>
    <w:p w14:paraId="3D4FF80F" w14:textId="77777777" w:rsidR="00F008D3" w:rsidRDefault="00F008D3" w:rsidP="00F008D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бесспорное взыскание суммы платы за пользование средствами, предоставленными из одного бюджета бюджетной системы Российской Федерации другому бюджету бюджетной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90">
        <w:rPr>
          <w:rFonts w:ascii="Times New Roman" w:hAnsi="Times New Roman" w:cs="Times New Roman"/>
          <w:sz w:val="28"/>
          <w:szCs w:val="28"/>
        </w:rPr>
        <w:t>Российской Федерации;</w:t>
      </w:r>
    </w:p>
    <w:p w14:paraId="3FEC376F" w14:textId="77777777" w:rsidR="00F008D3" w:rsidRDefault="00F008D3" w:rsidP="00F008D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бесспорное взыскание пеней за несвоевременный возврат средств бюджета;</w:t>
      </w:r>
    </w:p>
    <w:p w14:paraId="64176AF3" w14:textId="77777777" w:rsidR="00F008D3" w:rsidRPr="00354790" w:rsidRDefault="00F008D3" w:rsidP="00F008D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90">
        <w:rPr>
          <w:rFonts w:ascii="Times New Roman" w:hAnsi="Times New Roman" w:cs="Times New Roman"/>
          <w:sz w:val="28"/>
          <w:szCs w:val="28"/>
        </w:rPr>
        <w:t>приостановление (сокращение) предоставления межбюджетных трансфертов (за исключением субвенций).</w:t>
      </w:r>
    </w:p>
    <w:p w14:paraId="1D286954" w14:textId="77777777" w:rsidR="00241E5E" w:rsidRDefault="00241E5E" w:rsidP="00241E5E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743AFF81" w14:textId="0F50786B" w:rsidR="00241E5E" w:rsidRPr="00241E5E" w:rsidRDefault="00241E5E" w:rsidP="00241E5E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241E5E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D790A90" w14:textId="54A81A75" w:rsidR="00F008D3" w:rsidRPr="00E81FDB" w:rsidRDefault="00241E5E" w:rsidP="00F008D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статье 132 Бюджетного кодекса Российской Федерации п</w:t>
      </w:r>
      <w:r w:rsidRPr="00241E5E">
        <w:rPr>
          <w:rFonts w:ascii="Times New Roman" w:hAnsi="Times New Roman" w:cs="Times New Roman"/>
          <w:sz w:val="28"/>
          <w:szCs w:val="28"/>
        </w:rPr>
        <w:t>од субсидиями бюджетам субъектов Российской Федерации из федерального бюджета понимаются межбюджетные трансферты, предоставляемые бюджетам субъектов Российской Федерации в целях софинансирования расходных обязательств, возникающих при выполнении полномочий органов государственной власти субъектов Российской Федерации по предметам ведения субъектов Российской Федерации и предметам совместного ведения Российской Федерации и субъектов Российской Федерации, и расходных обязательств по выполнению полномочий органов местного самоуправления по вопросам местного значения.</w:t>
      </w:r>
    </w:p>
    <w:sectPr w:rsidR="00F008D3" w:rsidRPr="00E8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BF4"/>
    <w:multiLevelType w:val="hybridMultilevel"/>
    <w:tmpl w:val="D1FC4A4A"/>
    <w:lvl w:ilvl="0" w:tplc="95D0C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0F2F32"/>
    <w:multiLevelType w:val="hybridMultilevel"/>
    <w:tmpl w:val="79F4E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046CF9"/>
    <w:multiLevelType w:val="hybridMultilevel"/>
    <w:tmpl w:val="02329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1B"/>
    <w:rsid w:val="00241E5E"/>
    <w:rsid w:val="002F191B"/>
    <w:rsid w:val="004E0193"/>
    <w:rsid w:val="00E81FDB"/>
    <w:rsid w:val="00F0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7792"/>
  <w15:chartTrackingRefBased/>
  <w15:docId w15:val="{692F9CC2-3399-43D5-8BAD-DBBC06CC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72;&#1096;&#1072;\Desktop\&#1084;&#1086;&#1076;&#1091;&#1083;&#110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72;&#1096;&#1072;\Desktop\&#1084;&#1086;&#1076;&#1091;&#1083;&#110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Структура доходов,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1"/>
          <c:order val="1"/>
          <c:tx>
            <c:strRef>
              <c:f>'структ д'!$D$2</c:f>
              <c:strCache>
                <c:ptCount val="1"/>
                <c:pt idx="0">
                  <c:v>Удельный вес,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F6-4C87-B58A-073E3A735C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F6-4C87-B58A-073E3A735C4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F6-4C87-B58A-073E3A735C4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AF6-4C87-B58A-073E3A735C4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AF6-4C87-B58A-073E3A735C4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AF6-4C87-B58A-073E3A735C4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AF6-4C87-B58A-073E3A735C4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AF6-4C87-B58A-073E3A735C4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'структ д'!$B$4:$B$11</c:f>
              <c:strCache>
                <c:ptCount val="8"/>
                <c:pt idx="0">
                  <c:v>Государственная пошлина</c:v>
                </c:pt>
                <c:pt idx="1">
                  <c:v>Земельный налог</c:v>
                </c:pt>
                <c:pt idx="2">
                  <c:v>Налог на доходы физических лиц</c:v>
                </c:pt>
                <c:pt idx="3">
                  <c:v>Доходы, получаемые в виде арендной платы за земельные участки, государственная собственность на которые не разграничена</c:v>
                </c:pt>
                <c:pt idx="4">
                  <c:v>Штрафы, санкции, возмещение ущерба</c:v>
                </c:pt>
                <c:pt idx="5">
                  <c:v>Акцизы по подакцизным товарам (продукции), производимым на территории Российской Федерации</c:v>
                </c:pt>
                <c:pt idx="6">
                  <c:v>Налог на имущество физических лиц</c:v>
                </c:pt>
                <c:pt idx="7">
                  <c:v>Безвозмездные поступления</c:v>
                </c:pt>
              </c:strCache>
              <c:extLst/>
            </c:strRef>
          </c:cat>
          <c:val>
            <c:numRef>
              <c:f>'структ д'!$D$4:$D$11</c:f>
              <c:numCache>
                <c:formatCode>#,##0.00</c:formatCode>
                <c:ptCount val="8"/>
                <c:pt idx="0">
                  <c:v>0.25991624115775741</c:v>
                </c:pt>
                <c:pt idx="1">
                  <c:v>13.760116790027174</c:v>
                </c:pt>
                <c:pt idx="2">
                  <c:v>10.517748379802649</c:v>
                </c:pt>
                <c:pt idx="3">
                  <c:v>4.1054254797310712</c:v>
                </c:pt>
                <c:pt idx="4">
                  <c:v>6.5533817378872553E-2</c:v>
                </c:pt>
                <c:pt idx="5">
                  <c:v>0.40695195937416268</c:v>
                </c:pt>
                <c:pt idx="6">
                  <c:v>2.0844704924425357</c:v>
                </c:pt>
                <c:pt idx="7">
                  <c:v>68.799836840085788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10-0AF6-4C87-B58A-073E3A735C4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'структ д'!$C$2</c15:sqref>
                        </c15:formulaRef>
                      </c:ext>
                    </c:extLst>
                    <c:strCache>
                      <c:ptCount val="1"/>
                      <c:pt idx="0">
                        <c:v>Значение, тыс.руб.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2-0AF6-4C87-B58A-073E3A735C42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4-0AF6-4C87-B58A-073E3A735C42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6-0AF6-4C87-B58A-073E3A735C42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8-0AF6-4C87-B58A-073E3A735C42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A-0AF6-4C87-B58A-073E3A735C42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C-0AF6-4C87-B58A-073E3A735C42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E-0AF6-4C87-B58A-073E3A735C42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0-0AF6-4C87-B58A-073E3A735C42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bestFi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'структ д'!$B$4:$B$11</c15:sqref>
                        </c15:formulaRef>
                      </c:ext>
                    </c:extLst>
                    <c:strCache>
                      <c:ptCount val="8"/>
                      <c:pt idx="0">
                        <c:v>Государственная пошлина</c:v>
                      </c:pt>
                      <c:pt idx="1">
                        <c:v>Земельный налог</c:v>
                      </c:pt>
                      <c:pt idx="2">
                        <c:v>Налог на доходы физических лиц</c:v>
                      </c:pt>
                      <c:pt idx="3">
                        <c:v>Доходы, получаемые в виде арендной платы за земельные участки, государственная собственность на которые не разграничена</c:v>
                      </c:pt>
                      <c:pt idx="4">
                        <c:v>Штрафы, санкции, возмещение ущерба</c:v>
                      </c:pt>
                      <c:pt idx="5">
                        <c:v>Акцизы по подакцизным товарам (продукции), производимым на территории Российской Федерации</c:v>
                      </c:pt>
                      <c:pt idx="6">
                        <c:v>Налог на имущество физических лиц</c:v>
                      </c:pt>
                      <c:pt idx="7">
                        <c:v>Безвозмездные поступления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'структ д'!$C$4:$C$11</c15:sqref>
                        </c15:formulaRef>
                      </c:ext>
                    </c:extLst>
                    <c:numCache>
                      <c:formatCode>#,##0.00</c:formatCode>
                      <c:ptCount val="8"/>
                      <c:pt idx="0">
                        <c:v>23309</c:v>
                      </c:pt>
                      <c:pt idx="1">
                        <c:v>1233992</c:v>
                      </c:pt>
                      <c:pt idx="2">
                        <c:v>943220</c:v>
                      </c:pt>
                      <c:pt idx="3">
                        <c:v>368170</c:v>
                      </c:pt>
                      <c:pt idx="4">
                        <c:v>5877</c:v>
                      </c:pt>
                      <c:pt idx="5">
                        <c:v>36495</c:v>
                      </c:pt>
                      <c:pt idx="6">
                        <c:v>186933</c:v>
                      </c:pt>
                      <c:pt idx="7">
                        <c:v>6169893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21-0AF6-4C87-B58A-073E3A735C42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5806073021360137E-2"/>
          <c:y val="0.48019380226392333"/>
          <c:w val="0.84838768981269463"/>
          <c:h val="0.519806197736076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Анализ структуры расходов Губкинского городского округа за период,</a:t>
            </a:r>
            <a:r>
              <a:rPr lang="ru-RU" baseline="0"/>
              <a:t> </a:t>
            </a:r>
            <a:r>
              <a:rPr lang="ru-RU"/>
              <a:t>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1"/>
          <c:order val="1"/>
          <c:tx>
            <c:strRef>
              <c:f>'струк р'!$D$2</c:f>
              <c:strCache>
                <c:ptCount val="1"/>
                <c:pt idx="0">
                  <c:v>Удельный вес,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4F5-4BCA-8501-F731AB82531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4F5-4BCA-8501-F731AB82531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4F5-4BCA-8501-F731AB82531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4F5-4BCA-8501-F731AB82531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4F5-4BCA-8501-F731AB82531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4F5-4BCA-8501-F731AB82531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4F5-4BCA-8501-F731AB82531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4F5-4BCA-8501-F731AB82531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4F5-4BCA-8501-F731AB82531F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4F5-4BCA-8501-F731AB8253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'струк р'!$B$4:$B$13</c:f>
              <c:strCache>
                <c:ptCount val="10"/>
                <c:pt idx="0">
                  <c:v>Национальная экономика</c:v>
                </c:pt>
                <c:pt idx="1">
                  <c:v>Дошкольное образование</c:v>
                </c:pt>
                <c:pt idx="2">
                  <c:v>Социальная политика</c:v>
                </c:pt>
                <c:pt idx="3">
                  <c:v>Национальная безопасность и правоохранительная деятельность</c:v>
                </c:pt>
                <c:pt idx="4">
                  <c:v>Жилищно-коммунальное хозяйство</c:v>
                </c:pt>
                <c:pt idx="5">
                  <c:v>Культура, кинематография</c:v>
                </c:pt>
                <c:pt idx="6">
                  <c:v>Физическая культура и спорт</c:v>
                </c:pt>
                <c:pt idx="7">
                  <c:v>Охрана окружающей среды</c:v>
                </c:pt>
                <c:pt idx="8">
                  <c:v>Муниципальный долг</c:v>
                </c:pt>
                <c:pt idx="9">
                  <c:v>Общегосударственные вопросы</c:v>
                </c:pt>
              </c:strCache>
              <c:extLst/>
            </c:strRef>
          </c:cat>
          <c:val>
            <c:numRef>
              <c:f>'струк р'!$D$4:$D$13</c:f>
              <c:numCache>
                <c:formatCode>#,##0.00</c:formatCode>
                <c:ptCount val="10"/>
                <c:pt idx="0">
                  <c:v>16.928964578523857</c:v>
                </c:pt>
                <c:pt idx="1">
                  <c:v>31.884632796274282</c:v>
                </c:pt>
                <c:pt idx="2">
                  <c:v>15.023032435497383</c:v>
                </c:pt>
                <c:pt idx="3">
                  <c:v>1.1415761386696157</c:v>
                </c:pt>
                <c:pt idx="4">
                  <c:v>19.317628511074339</c:v>
                </c:pt>
                <c:pt idx="5">
                  <c:v>7.0981621032271391</c:v>
                </c:pt>
                <c:pt idx="6">
                  <c:v>4.7182231521171287</c:v>
                </c:pt>
                <c:pt idx="7">
                  <c:v>1.3336448057890577E-2</c:v>
                </c:pt>
                <c:pt idx="8">
                  <c:v>0.41825785719218844</c:v>
                </c:pt>
                <c:pt idx="9">
                  <c:v>3.4561859793661767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14-B4F5-4BCA-8501-F731AB82531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'струк р'!$C$2</c15:sqref>
                        </c15:formulaRef>
                      </c:ext>
                    </c:extLst>
                    <c:strCache>
                      <c:ptCount val="1"/>
                      <c:pt idx="0">
                        <c:v>Значение, тыс.руб.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6-B4F5-4BCA-8501-F731AB82531F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8-B4F5-4BCA-8501-F731AB82531F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A-B4F5-4BCA-8501-F731AB82531F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C-B4F5-4BCA-8501-F731AB82531F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E-B4F5-4BCA-8501-F731AB82531F}"/>
                    </c:ext>
                  </c:extLst>
                </c:dPt>
                <c:dPt>
                  <c:idx val="5"/>
                  <c:bubble3D val="0"/>
                  <c:spPr>
                    <a:solidFill>
                      <a:schemeClr val="accent6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0-B4F5-4BCA-8501-F731AB82531F}"/>
                    </c:ext>
                  </c:extLst>
                </c:dPt>
                <c:dPt>
                  <c:idx val="6"/>
                  <c:bubble3D val="0"/>
                  <c:spPr>
                    <a:solidFill>
                      <a:schemeClr val="accent1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2-B4F5-4BCA-8501-F731AB82531F}"/>
                    </c:ext>
                  </c:extLst>
                </c:dPt>
                <c:dPt>
                  <c:idx val="7"/>
                  <c:bubble3D val="0"/>
                  <c:spPr>
                    <a:solidFill>
                      <a:schemeClr val="accent2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4-B4F5-4BCA-8501-F731AB82531F}"/>
                    </c:ext>
                  </c:extLst>
                </c:dPt>
                <c:dPt>
                  <c:idx val="8"/>
                  <c:bubble3D val="0"/>
                  <c:spPr>
                    <a:solidFill>
                      <a:schemeClr val="accent3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6-B4F5-4BCA-8501-F731AB82531F}"/>
                    </c:ext>
                  </c:extLst>
                </c:dPt>
                <c:dPt>
                  <c:idx val="9"/>
                  <c:bubble3D val="0"/>
                  <c:spPr>
                    <a:solidFill>
                      <a:schemeClr val="accent4">
                        <a:lumMod val="60000"/>
                      </a:schemeClr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28-B4F5-4BCA-8501-F731AB82531F}"/>
                    </c:ext>
                  </c:extLst>
                </c:dPt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bestFi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1"/>
                  <c:leaderLines>
                    <c:spPr>
                      <a:ln w="9525" cap="flat" cmpd="sng" algn="ctr">
                        <a:solidFill>
                          <a:schemeClr val="tx1">
                            <a:lumMod val="35000"/>
                            <a:lumOff val="65000"/>
                          </a:schemeClr>
                        </a:solidFill>
                        <a:round/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'струк р'!$B$4:$B$13</c15:sqref>
                        </c15:formulaRef>
                      </c:ext>
                    </c:extLst>
                    <c:strCache>
                      <c:ptCount val="10"/>
                      <c:pt idx="0">
                        <c:v>Национальная экономика</c:v>
                      </c:pt>
                      <c:pt idx="1">
                        <c:v>Дошкольное образование</c:v>
                      </c:pt>
                      <c:pt idx="2">
                        <c:v>Социальная политика</c:v>
                      </c:pt>
                      <c:pt idx="3">
                        <c:v>Национальная безопасность и правоохранительная деятельность</c:v>
                      </c:pt>
                      <c:pt idx="4">
                        <c:v>Жилищно-коммунальное хозяйство</c:v>
                      </c:pt>
                      <c:pt idx="5">
                        <c:v>Культура, кинематография</c:v>
                      </c:pt>
                      <c:pt idx="6">
                        <c:v>Физическая культура и спорт</c:v>
                      </c:pt>
                      <c:pt idx="7">
                        <c:v>Охрана окружающей среды</c:v>
                      </c:pt>
                      <c:pt idx="8">
                        <c:v>Муниципальный долг</c:v>
                      </c:pt>
                      <c:pt idx="9">
                        <c:v>Общегосударственные вопросы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'струк р'!$C$4:$C$13</c15:sqref>
                        </c15:formulaRef>
                      </c:ext>
                    </c:extLst>
                    <c:numCache>
                      <c:formatCode>#,##0.00</c:formatCode>
                      <c:ptCount val="10"/>
                      <c:pt idx="0">
                        <c:v>1563871</c:v>
                      </c:pt>
                      <c:pt idx="1">
                        <c:v>2945452</c:v>
                      </c:pt>
                      <c:pt idx="2">
                        <c:v>1387804</c:v>
                      </c:pt>
                      <c:pt idx="3">
                        <c:v>105457</c:v>
                      </c:pt>
                      <c:pt idx="4">
                        <c:v>1784532</c:v>
                      </c:pt>
                      <c:pt idx="5">
                        <c:v>655717</c:v>
                      </c:pt>
                      <c:pt idx="6">
                        <c:v>435862</c:v>
                      </c:pt>
                      <c:pt idx="7">
                        <c:v>1232</c:v>
                      </c:pt>
                      <c:pt idx="8">
                        <c:v>38638</c:v>
                      </c:pt>
                      <c:pt idx="9">
                        <c:v>319277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29-B4F5-4BCA-8501-F731AB82531F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</cp:revision>
  <dcterms:created xsi:type="dcterms:W3CDTF">2024-05-22T07:22:00Z</dcterms:created>
  <dcterms:modified xsi:type="dcterms:W3CDTF">2024-05-22T07:49:00Z</dcterms:modified>
</cp:coreProperties>
</file>