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40" w:type="dxa"/>
        <w:tblLayout w:type="fixed"/>
        <w:tblLook w:val="04A0" w:firstRow="1" w:lastRow="0" w:firstColumn="1" w:lastColumn="0" w:noHBand="0" w:noVBand="1"/>
      </w:tblPr>
      <w:tblGrid>
        <w:gridCol w:w="4785"/>
        <w:gridCol w:w="4855"/>
      </w:tblGrid>
      <w:tr w:rsidR="00685678" w:rsidRPr="005260E2" w:rsidTr="005260E2">
        <w:tc>
          <w:tcPr>
            <w:tcW w:w="2482" w:type="pct"/>
          </w:tcPr>
          <w:p w:rsidR="00685678" w:rsidRPr="005260E2" w:rsidRDefault="005260E2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Факторы риска</w:t>
            </w:r>
          </w:p>
        </w:tc>
        <w:tc>
          <w:tcPr>
            <w:tcW w:w="2518" w:type="pct"/>
          </w:tcPr>
          <w:p w:rsidR="00685678" w:rsidRPr="005260E2" w:rsidRDefault="005260E2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Рекомендации по  управлению</w:t>
            </w:r>
          </w:p>
        </w:tc>
      </w:tr>
      <w:tr w:rsidR="00CD247F" w:rsidRPr="005260E2" w:rsidTr="00CD247F">
        <w:tc>
          <w:tcPr>
            <w:tcW w:w="5000" w:type="pct"/>
            <w:gridSpan w:val="2"/>
          </w:tcPr>
          <w:p w:rsidR="00CD247F" w:rsidRPr="005260E2" w:rsidRDefault="00CD247F" w:rsidP="00CD247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D247F">
              <w:rPr>
                <w:rFonts w:asciiTheme="minorHAnsi" w:hAnsiTheme="minorHAnsi" w:cstheme="minorHAnsi"/>
                <w:sz w:val="28"/>
                <w:szCs w:val="28"/>
              </w:rPr>
              <w:t>Риск ликвидности</w:t>
            </w:r>
          </w:p>
        </w:tc>
      </w:tr>
      <w:tr w:rsidR="00685678" w:rsidRPr="005260E2" w:rsidTr="005260E2">
        <w:trPr>
          <w:trHeight w:val="1067"/>
        </w:trPr>
        <w:tc>
          <w:tcPr>
            <w:tcW w:w="2482" w:type="pct"/>
          </w:tcPr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Данный риск, выражается в </w:t>
            </w:r>
            <w:proofErr w:type="spellStart"/>
            <w:proofErr w:type="gramStart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неспо-собности</w:t>
            </w:r>
            <w:proofErr w:type="spellEnd"/>
            <w:proofErr w:type="gramEnd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кредитной организации фи-</w:t>
            </w:r>
            <w:proofErr w:type="spellStart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нансировать</w:t>
            </w:r>
            <w:proofErr w:type="spellEnd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свою деятельность. то есть обеспечивать рост активов и вы-</w:t>
            </w:r>
            <w:proofErr w:type="spellStart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полнять</w:t>
            </w:r>
            <w:proofErr w:type="spellEnd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обязательства по мере их наступления без </w:t>
            </w:r>
            <w:proofErr w:type="spellStart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понесения</w:t>
            </w:r>
            <w:proofErr w:type="spellEnd"/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убытков в недопустимых для финансовой устойчивости размерах. :</w:t>
            </w:r>
          </w:p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1. Коэффициент</w:t>
            </w:r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текущей </w:t>
            </w:r>
            <w:proofErr w:type="gramStart"/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ликвидно-</w:t>
            </w:r>
            <w:proofErr w:type="spellStart"/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сти</w:t>
            </w:r>
            <w:proofErr w:type="spellEnd"/>
            <w:proofErr w:type="gramEnd"/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 - 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показывает, какую часть кратк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о</w:t>
            </w:r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срочной задол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женности может п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крыть организация за счет имеющи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х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ся денежных средств, краткосрочных финансовых вложений, краткосро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ч</w:t>
            </w:r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ной дебитор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ской задолженности и р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е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 xml:space="preserve">ализации имеющихся запасов. </w:t>
            </w:r>
          </w:p>
          <w:p w:rsidR="00685678" w:rsidRPr="005260E2" w:rsidRDefault="00234B83" w:rsidP="005260E2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234B83">
              <w:rPr>
                <w:rFonts w:asciiTheme="minorHAnsi" w:eastAsia="Times New Roman" w:hAnsiTheme="minorHAnsi" w:cstheme="minorHAnsi"/>
                <w:sz w:val="28"/>
                <w:szCs w:val="28"/>
              </w:rPr>
              <w:t>Данный показатель имеет рекоменд</w:t>
            </w:r>
            <w:r w:rsidRPr="00234B83">
              <w:rPr>
                <w:rFonts w:asciiTheme="minorHAnsi" w:eastAsia="Times New Roman" w:hAnsiTheme="minorHAnsi" w:cstheme="minorHAnsi"/>
                <w:sz w:val="28"/>
                <w:szCs w:val="28"/>
              </w:rPr>
              <w:t>у</w:t>
            </w:r>
            <w:r w:rsidRPr="00234B83">
              <w:rPr>
                <w:rFonts w:asciiTheme="minorHAnsi" w:eastAsia="Times New Roman" w:hAnsiTheme="minorHAnsi" w:cstheme="minorHAnsi"/>
                <w:sz w:val="28"/>
                <w:szCs w:val="28"/>
              </w:rPr>
              <w:t>емое значение 1,-2,5.</w:t>
            </w:r>
          </w:p>
          <w:p w:rsidR="00685678" w:rsidRPr="005260E2" w:rsidRDefault="00685678" w:rsidP="005260E2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518" w:type="pct"/>
          </w:tcPr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Организация находится в зоне доп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у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стимого риска. П</w:t>
            </w:r>
            <w:r w:rsid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р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 допустимом риске возможно отсутствие не только пр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были, но и выручки, и, следовательно, покрытие убытков за счет средств о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р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ганизации.</w:t>
            </w:r>
          </w:p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1. За периоды с 2020г. по 2022г. коэ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фициент абсолютной ликвидност</w:t>
            </w:r>
            <w:proofErr w:type="gramStart"/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 ООО</w:t>
            </w:r>
            <w:proofErr w:type="gramEnd"/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«Оазис» пошел на спад. В 2020г. коэффициент абсолютной ликвидн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сти составил 0,07, а </w:t>
            </w:r>
            <w:proofErr w:type="gramStart"/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на конец</w:t>
            </w:r>
            <w:proofErr w:type="gramEnd"/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2022г. – 0,002. Снижение показателя коэфф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циент абсолютной ликвидности св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я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зано с отсутствием высоколиквидных активов для погашения краткосро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ч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ных обязательств.</w:t>
            </w:r>
          </w:p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Для снижения риска и повышения к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эффициент абсолютной ликвидности необходимо:</w:t>
            </w:r>
          </w:p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уменьшение дебиторской задолже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ности покупателей перед компанией;</w:t>
            </w:r>
          </w:p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снижение размеров кредитных об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я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зательств;</w:t>
            </w:r>
          </w:p>
          <w:p w:rsidR="00E40061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рост и увеличение продаж, сокращ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е</w:t>
            </w:r>
            <w:r w:rsidRPr="00CD247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ние расходов.</w:t>
            </w:r>
          </w:p>
          <w:p w:rsidR="00685678" w:rsidRPr="005260E2" w:rsidRDefault="00685678" w:rsidP="005260E2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:rsidR="00685678" w:rsidRPr="005260E2" w:rsidRDefault="00685678" w:rsidP="005260E2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:rsidR="00685678" w:rsidRPr="005260E2" w:rsidRDefault="00685678" w:rsidP="005260E2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CD247F" w:rsidRPr="005260E2" w:rsidTr="005260E2">
        <w:trPr>
          <w:trHeight w:val="1067"/>
        </w:trPr>
        <w:tc>
          <w:tcPr>
            <w:tcW w:w="2482" w:type="pct"/>
          </w:tcPr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2.Коэффициент </w:t>
            </w:r>
            <w:r w:rsidR="00415926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критической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 ликвидности (или оборотного капит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а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ла) показывает, как быстро компания может рассчитаться по краткосро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ч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ным обязательствам, продав высок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ликвидное имущество. К нему отн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сят деньги, краткосрочные вложения (рыночные ценные бумаги — акции и облигации до 30 дней) и задолженн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сти дебиторов.</w:t>
            </w:r>
          </w:p>
          <w:p w:rsidR="00CD247F" w:rsidRPr="005260E2" w:rsidRDefault="00234B83" w:rsidP="005260E2">
            <w:pPr>
              <w:jc w:val="both"/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</w:pPr>
            <w:r w:rsidRPr="00234B83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Данный показатель имеет рекоменд</w:t>
            </w:r>
            <w:r w:rsidRPr="00234B83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у</w:t>
            </w:r>
            <w:r w:rsidR="003406E9">
              <w:rPr>
                <w:rFonts w:asciiTheme="minorHAnsi" w:eastAsia="Times New Roman" w:hAnsiTheme="minorHAnsi" w:cstheme="minorHAnsi"/>
                <w:bCs/>
                <w:color w:val="333333"/>
                <w:sz w:val="28"/>
                <w:szCs w:val="28"/>
              </w:rPr>
              <w:t>емое значение 1 и выше.</w:t>
            </w:r>
          </w:p>
        </w:tc>
        <w:tc>
          <w:tcPr>
            <w:tcW w:w="2518" w:type="pct"/>
          </w:tcPr>
          <w:p w:rsidR="003406E9" w:rsidRDefault="00415926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2. За периоды с 2020г. по 2022г. </w:t>
            </w:r>
            <w:proofErr w:type="spellStart"/>
            <w:proofErr w:type="gramStart"/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коэф-фициент</w:t>
            </w:r>
            <w:proofErr w:type="spellEnd"/>
            <w:proofErr w:type="gramEnd"/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критической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ликви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дности ООО «Оазис» снизился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 В 2020г. к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эффициент 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критической ликвидно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сти соста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вил 0,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7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1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, а </w:t>
            </w:r>
            <w:proofErr w:type="gramStart"/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на конец</w:t>
            </w:r>
            <w:proofErr w:type="gramEnd"/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2022г. – 0,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31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 Снижение показа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теля коэффи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циент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критической ликвидности свя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зано 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с трудностями при осуществлении 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пл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теж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ей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, 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но также может говорить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о том, что в компании эффективно управл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я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ют дебиторской задолженно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стью, к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торая</w:t>
            </w:r>
            <w:r w:rsidR="00234B83" w:rsidRPr="00234B83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быстро погашается.</w:t>
            </w:r>
          </w:p>
          <w:p w:rsidR="003406E9" w:rsidRDefault="00415926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Для снижения риска и повы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шения к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эффициент абсолютной ликвидности необходимо:</w:t>
            </w:r>
          </w:p>
          <w:p w:rsidR="00415926" w:rsidRPr="00415926" w:rsidRDefault="00415926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lastRenderedPageBreak/>
              <w:t>- Воспользоваться долго</w:t>
            </w:r>
            <w:r w:rsid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срочными кредитами;</w:t>
            </w:r>
          </w:p>
          <w:p w:rsidR="00415926" w:rsidRPr="00415926" w:rsidRDefault="003406E9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    в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ыдать краткосрочные займы;</w:t>
            </w:r>
          </w:p>
          <w:p w:rsidR="00415926" w:rsidRPr="00415926" w:rsidRDefault="003406E9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в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оспольз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оваться долгосрочными кредитами;</w:t>
            </w:r>
          </w:p>
          <w:p w:rsidR="00415926" w:rsidRPr="00415926" w:rsidRDefault="003406E9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   у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величить оборотные активы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:rsidR="00CD247F" w:rsidRDefault="003406E9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у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меньши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ь краткосрочные обяз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тельства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</w:t>
            </w:r>
          </w:p>
        </w:tc>
      </w:tr>
      <w:tr w:rsidR="00CD247F" w:rsidRPr="005260E2" w:rsidTr="005260E2">
        <w:trPr>
          <w:trHeight w:val="1067"/>
        </w:trPr>
        <w:tc>
          <w:tcPr>
            <w:tcW w:w="2482" w:type="pct"/>
          </w:tcPr>
          <w:p w:rsidR="00CD247F" w:rsidRP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 xml:space="preserve">3. Коэффициент </w:t>
            </w:r>
            <w:r w:rsidR="003406E9">
              <w:rPr>
                <w:rFonts w:asciiTheme="minorHAnsi" w:eastAsia="Times New Roman" w:hAnsiTheme="minorHAnsi" w:cstheme="minorHAnsi"/>
                <w:sz w:val="28"/>
                <w:szCs w:val="28"/>
              </w:rPr>
              <w:t>текущей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ликвидн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о</w:t>
            </w:r>
            <w:r w:rsidR="003406E9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сти - 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показывает способность банка погасить обязательства до востреб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вания, в течение одного-двух банко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в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ских дней.</w:t>
            </w:r>
          </w:p>
          <w:p w:rsidR="00CD247F" w:rsidRDefault="00CD247F" w:rsidP="00CD247F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Коэффициент меньше рекомендуем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о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го значения, </w:t>
            </w:r>
            <w:proofErr w:type="gramStart"/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значит</w:t>
            </w:r>
            <w:proofErr w:type="gramEnd"/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существует ф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и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нансовый риск не оплатить долги о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р</w:t>
            </w:r>
            <w:r w:rsidRPr="00CD247F">
              <w:rPr>
                <w:rFonts w:asciiTheme="minorHAnsi" w:eastAsia="Times New Roman" w:hAnsiTheme="minorHAnsi" w:cstheme="minorHAnsi"/>
                <w:sz w:val="28"/>
                <w:szCs w:val="28"/>
              </w:rPr>
              <w:t>ганизации.</w:t>
            </w:r>
          </w:p>
          <w:p w:rsidR="00A41694" w:rsidRDefault="00A41694" w:rsidP="00CD247F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41694">
              <w:rPr>
                <w:rFonts w:asciiTheme="minorHAnsi" w:eastAsia="Times New Roman" w:hAnsiTheme="minorHAnsi" w:cstheme="minorHAnsi"/>
                <w:sz w:val="28"/>
                <w:szCs w:val="28"/>
              </w:rPr>
              <w:t>Данный показатель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имеет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рекоменду-емое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значение 0,15-0,25</w:t>
            </w:r>
            <w:r w:rsidRPr="00A41694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и выше.</w:t>
            </w:r>
          </w:p>
        </w:tc>
        <w:tc>
          <w:tcPr>
            <w:tcW w:w="2518" w:type="pct"/>
          </w:tcPr>
          <w:p w:rsidR="00066BB7" w:rsidRDefault="003406E9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3. 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периоды с 2020г. по 2022г. коэ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фициент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текущей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ликвидност</w:t>
            </w:r>
            <w:proofErr w:type="gramStart"/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 ООО</w:t>
            </w:r>
            <w:proofErr w:type="gramEnd"/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«Оа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зис» снизился на </w:t>
            </w:r>
            <w:r w:rsid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2,22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 В 2020г. к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эффициент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текущей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ликвидности с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ставил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1,24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, а на конец 2022г. –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0,98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. Снижение показателя коэффициента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текущей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ликвидности связано</w:t>
            </w:r>
            <w:r w:rsid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с тем, что</w:t>
            </w:r>
            <w:r w:rsidRPr="003406E9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предприятию</w:t>
            </w:r>
            <w:r w:rsidR="00066BB7"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нечем покрывать производственные потребности и ра</w:t>
            </w:r>
            <w:r w:rsidR="00066BB7"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</w:t>
            </w:r>
            <w:r w:rsidR="00066BB7"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считываться по обязательствам. </w:t>
            </w:r>
          </w:p>
          <w:p w:rsidR="00066BB7" w:rsidRDefault="00066BB7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Дл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я снижения риска и повышения к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эффициент</w:t>
            </w:r>
            <w:r w:rsid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абсолютной ликвидности необходимо:</w:t>
            </w:r>
          </w:p>
          <w:p w:rsidR="00415926" w:rsidRPr="00415926" w:rsidRDefault="00415926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сократить объемы задолженности по кредитам, путем реструктуризации;</w:t>
            </w:r>
          </w:p>
          <w:p w:rsidR="00415926" w:rsidRPr="00415926" w:rsidRDefault="00066BB7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 у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величить оборотные активы;</w:t>
            </w:r>
          </w:p>
          <w:p w:rsidR="00415926" w:rsidRPr="00415926" w:rsidRDefault="00066BB7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о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дновременно увеличить оборотные активы и сократить объемы задолже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</w:t>
            </w:r>
            <w:r w:rsidR="00415926"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ности по кредитам.</w:t>
            </w:r>
          </w:p>
          <w:p w:rsidR="00CD247F" w:rsidRPr="005260E2" w:rsidRDefault="00CD247F" w:rsidP="00CD247F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</w:p>
        </w:tc>
      </w:tr>
      <w:tr w:rsidR="00415926" w:rsidRPr="005260E2" w:rsidTr="005260E2">
        <w:trPr>
          <w:trHeight w:val="1067"/>
        </w:trPr>
        <w:tc>
          <w:tcPr>
            <w:tcW w:w="2482" w:type="pct"/>
          </w:tcPr>
          <w:p w:rsidR="00415926" w:rsidRPr="00415926" w:rsidRDefault="00415926" w:rsidP="00415926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4.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Коэффициент соотношения дене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ж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ных средств и чистого оборотного к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а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питала.</w:t>
            </w:r>
          </w:p>
          <w:p w:rsidR="00415926" w:rsidRPr="00415926" w:rsidRDefault="00415926" w:rsidP="00415926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Показывает долю чистого оборотного капитала, сосредоточенную </w:t>
            </w:r>
            <w:proofErr w:type="gramStart"/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в</w:t>
            </w:r>
            <w:proofErr w:type="gramEnd"/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дене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ж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ных средств.</w:t>
            </w:r>
          </w:p>
          <w:p w:rsidR="00415926" w:rsidRDefault="00415926" w:rsidP="00CD247F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Коэффициент в организации сниж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а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ется, появляется риск не своевреме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н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но погасить свои платежные обяз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а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тельства наличными денежными р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е</w:t>
            </w:r>
            <w:r w:rsidRPr="00415926">
              <w:rPr>
                <w:rFonts w:asciiTheme="minorHAnsi" w:eastAsia="Times New Roman" w:hAnsiTheme="minorHAnsi" w:cstheme="minorHAnsi"/>
                <w:sz w:val="28"/>
                <w:szCs w:val="28"/>
              </w:rPr>
              <w:t>сурсами.</w:t>
            </w:r>
          </w:p>
          <w:p w:rsidR="00A41694" w:rsidRPr="00CD247F" w:rsidRDefault="00A41694" w:rsidP="00A41694">
            <w:pPr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41694">
              <w:rPr>
                <w:rFonts w:asciiTheme="minorHAnsi" w:eastAsia="Times New Roman" w:hAnsiTheme="minorHAnsi" w:cstheme="minorHAnsi"/>
                <w:sz w:val="28"/>
                <w:szCs w:val="28"/>
              </w:rPr>
              <w:t>Да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нный показатель имеет рекоменд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у</w:t>
            </w:r>
            <w:r w:rsidRPr="00A41694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емое значение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0-1</w:t>
            </w:r>
            <w:r w:rsidRPr="00A41694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518" w:type="pct"/>
          </w:tcPr>
          <w:p w:rsidR="00415926" w:rsidRPr="00415926" w:rsidRDefault="00066BB7" w:rsidP="00066BB7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4. 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периоды с 2020г. по 2022г. коэ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фициент соотношения денежных средств и чистого оборотного капит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л</w:t>
            </w:r>
            <w:proofErr w:type="gramStart"/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ООО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«Оазис» снизился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 В 20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20г. коэф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фициент соотношения денежных средств и чистого оборотного капит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ла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соста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вил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0,10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, а </w:t>
            </w:r>
            <w:proofErr w:type="gramStart"/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на конец</w:t>
            </w:r>
            <w:proofErr w:type="gramEnd"/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2022г. –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0,01 ниже нуля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 Снижение показателя коэффициента соотношения дене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ж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ных средств и чистого оборотного к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питала связано с тем, что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доля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чисто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го оборотного капитала предприятия не 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сосредоточен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в денежных средствах</w:t>
            </w:r>
            <w:proofErr w:type="gramStart"/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Д</w:t>
            </w:r>
            <w:proofErr w:type="gramEnd"/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ля снижения риска и повыше</w:t>
            </w:r>
            <w:r w:rsid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ния к</w:t>
            </w:r>
            <w:r w:rsid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эффициент</w:t>
            </w:r>
            <w:r w:rsid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="00E6232C"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соотношения денежных средств и чистого оборотного капит</w:t>
            </w:r>
            <w:r w:rsidR="00E6232C"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="00E6232C"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ла </w:t>
            </w:r>
            <w:r w:rsidRPr="00066B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необходимо:</w:t>
            </w:r>
          </w:p>
        </w:tc>
      </w:tr>
      <w:tr w:rsidR="00415926" w:rsidRPr="005260E2" w:rsidTr="005260E2">
        <w:trPr>
          <w:trHeight w:val="1067"/>
        </w:trPr>
        <w:tc>
          <w:tcPr>
            <w:tcW w:w="2482" w:type="pct"/>
          </w:tcPr>
          <w:p w:rsidR="00415926" w:rsidRDefault="00415926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lastRenderedPageBreak/>
              <w:t>5. Коэффициент покрытия процентов - это финансовый показатель, соизм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е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ряющий величину прибыли до в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ы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платы процентов по кредиту и уплаты налогов. Показатель находится в но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р</w:t>
            </w:r>
            <w:r w:rsidRPr="00415926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ме.</w:t>
            </w:r>
          </w:p>
          <w:p w:rsidR="00A41694" w:rsidRPr="00415926" w:rsidRDefault="00A41694" w:rsidP="00415926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4169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Да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нный показатель имеет рекоменд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у</w:t>
            </w:r>
            <w:r w:rsidRPr="00A4169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емое значение 1 и выше.</w:t>
            </w:r>
          </w:p>
        </w:tc>
        <w:tc>
          <w:tcPr>
            <w:tcW w:w="2518" w:type="pct"/>
          </w:tcPr>
          <w:p w:rsidR="00E6232C" w:rsidRDefault="00E6232C" w:rsidP="00E6232C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За </w:t>
            </w:r>
            <w:r w:rsidR="00692EFF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периоды с 2021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г. по 2022г. коэф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и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циент покрытия процентов ООО «О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а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зис» снизился на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3,96. В 2021г. ко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ф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фициент покрытия процентов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со-ставил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5,80, а на конец 2022г. – 1,84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. Чем меньше коэффициент покрытия процентов, тем выше кредитное бремя 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предприятия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и тем выше вероятность наступления банкротства.</w:t>
            </w:r>
          </w:p>
          <w:p w:rsidR="00415926" w:rsidRDefault="00E6232C" w:rsidP="00E6232C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Для сниже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ния риска и повышения к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о</w:t>
            </w:r>
            <w:r w:rsidRPr="00E6232C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эффициента покрытия процентов необходимо:</w:t>
            </w:r>
          </w:p>
          <w:p w:rsidR="00A41694" w:rsidRDefault="00A41694" w:rsidP="00E6232C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- осуществить </w:t>
            </w:r>
            <w:r w:rsidRPr="00A4169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устойчивое финансовое положение организации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:rsidR="00A41694" w:rsidRPr="00415926" w:rsidRDefault="00A41694" w:rsidP="00E6232C">
            <w:pPr>
              <w:jc w:val="both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 осторожный подход</w:t>
            </w:r>
            <w:r w:rsidRPr="00A4169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к привлечению заёмных средств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.</w:t>
            </w:r>
          </w:p>
        </w:tc>
      </w:tr>
      <w:tr w:rsidR="00A41694" w:rsidRPr="005260E2" w:rsidTr="00A41694">
        <w:trPr>
          <w:trHeight w:val="487"/>
        </w:trPr>
        <w:tc>
          <w:tcPr>
            <w:tcW w:w="5000" w:type="pct"/>
            <w:gridSpan w:val="2"/>
          </w:tcPr>
          <w:p w:rsidR="00A41694" w:rsidRPr="00E6232C" w:rsidRDefault="00A41694" w:rsidP="00A41694">
            <w:pPr>
              <w:jc w:val="center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4169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Рыночные риски</w:t>
            </w:r>
          </w:p>
        </w:tc>
      </w:tr>
      <w:tr w:rsidR="00685678" w:rsidRPr="005260E2" w:rsidTr="005260E2">
        <w:tc>
          <w:tcPr>
            <w:tcW w:w="2482" w:type="pct"/>
          </w:tcPr>
          <w:p w:rsidR="000D7353" w:rsidRPr="005260E2" w:rsidRDefault="00A41694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Риски 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связаны с возможными небл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гоприятными для организации п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следствиями в случае изменения р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ы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ночных параметров, в частности, цен и ценовых индексов (на товары, раб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ты, услуги, ценные бумаги, драгоце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н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ные металлы, др.), процентных ст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="000D7353" w:rsidRPr="005260E2">
              <w:rPr>
                <w:rFonts w:asciiTheme="minorHAnsi" w:hAnsiTheme="minorHAnsi" w:cstheme="minorHAnsi"/>
                <w:sz w:val="28"/>
                <w:szCs w:val="28"/>
              </w:rPr>
              <w:t xml:space="preserve">вок, курсов иностранных валют. 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1. Рентабельность активов – это ф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нансовый показатель, который  пок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зывает, сколько копеек приносит ка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ж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дый рубль, вложенный в активы би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з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неса. Например, какую прибыль предпринимателю даёт его недвиж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мость, оборудование или транспорт — насколько эффективно их испол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ь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зуют в бизнес-процессах.</w:t>
            </w:r>
          </w:p>
          <w:p w:rsidR="00FC3D46" w:rsidRPr="005260E2" w:rsidRDefault="00FC3D46" w:rsidP="00FC3D4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18" w:type="pct"/>
          </w:tcPr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За периоды с 2021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г. по 2022г. </w:t>
            </w:r>
            <w:r w:rsidR="00BB031C">
              <w:rPr>
                <w:rFonts w:asciiTheme="minorHAnsi" w:hAnsiTheme="minorHAnsi" w:cstheme="minorHAnsi"/>
                <w:sz w:val="28"/>
                <w:szCs w:val="28"/>
              </w:rPr>
              <w:t>р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ент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бельность активов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ООО «Оа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зис» сн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зилась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 на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5,58. В 2021г. </w:t>
            </w:r>
            <w:r w:rsidR="00BB031C">
              <w:rPr>
                <w:rFonts w:asciiTheme="minorHAnsi" w:hAnsiTheme="minorHAnsi" w:cstheme="minorHAnsi"/>
                <w:sz w:val="28"/>
                <w:szCs w:val="28"/>
              </w:rPr>
              <w:t>р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ентабел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ь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ность активов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со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ставил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9,66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, а </w:t>
            </w:r>
            <w:proofErr w:type="gramStart"/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на к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нец</w:t>
            </w:r>
            <w:proofErr w:type="gramEnd"/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 2022г. –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4,08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Это свидетельствует о том,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что 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компания неэффективно и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с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пользует активы или у нее много з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емных средств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:rsidR="00685678" w:rsidRPr="005260E2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Для снижения риска и повышения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рентабельности активов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 необхо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ди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мо: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улучшить качество продукции или услуг;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расширить ассортимент, рынок сб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ы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та;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пересмотреть ценообразование;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добавить сопутствующие услуги — например, доставку;</w:t>
            </w:r>
          </w:p>
          <w:p w:rsidR="000D7353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пересмотреть маркетинговую страт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гию;</w:t>
            </w:r>
          </w:p>
          <w:p w:rsidR="005260E2" w:rsidRPr="005260E2" w:rsidRDefault="000D7353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- запустить акции, программы лоял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ь</w:t>
            </w:r>
            <w:r w:rsidRPr="005260E2">
              <w:rPr>
                <w:rFonts w:asciiTheme="minorHAnsi" w:hAnsiTheme="minorHAnsi" w:cstheme="minorHAnsi"/>
                <w:sz w:val="28"/>
                <w:szCs w:val="28"/>
              </w:rPr>
              <w:t>ности.</w:t>
            </w:r>
          </w:p>
        </w:tc>
      </w:tr>
      <w:tr w:rsidR="00FC3D46" w:rsidRPr="005260E2" w:rsidTr="00997AF7">
        <w:tc>
          <w:tcPr>
            <w:tcW w:w="2482" w:type="pct"/>
          </w:tcPr>
          <w:p w:rsidR="00FC3D46" w:rsidRDefault="00FC3D46" w:rsidP="00997AF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 xml:space="preserve">2. Рентабельность </w:t>
            </w:r>
            <w:proofErr w:type="spellStart"/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внеоборотных</w:t>
            </w:r>
            <w:proofErr w:type="spellEnd"/>
            <w:r w:rsidRPr="00FC3D46">
              <w:rPr>
                <w:rFonts w:asciiTheme="minorHAnsi" w:hAnsiTheme="minorHAnsi" w:cstheme="minorHAnsi"/>
                <w:sz w:val="28"/>
                <w:szCs w:val="28"/>
              </w:rPr>
              <w:t xml:space="preserve"> а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к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тивов - отношение чистой прибыли к величине основных средств, характ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 xml:space="preserve">ризующее отдачу с каждого рубля, отвлеченного во </w:t>
            </w:r>
            <w:proofErr w:type="spellStart"/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внеоборотные</w:t>
            </w:r>
            <w:proofErr w:type="spellEnd"/>
            <w:r w:rsidRPr="00FC3D46">
              <w:rPr>
                <w:rFonts w:asciiTheme="minorHAnsi" w:hAnsiTheme="minorHAnsi" w:cstheme="minorHAnsi"/>
                <w:sz w:val="28"/>
                <w:szCs w:val="28"/>
              </w:rPr>
              <w:t xml:space="preserve"> акт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вы предприятия. Демонстрирует сп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собность предприятия обеспечивать достаточный объем прибыли по о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ношению к основным средствам ко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м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пании.</w:t>
            </w:r>
          </w:p>
        </w:tc>
        <w:tc>
          <w:tcPr>
            <w:tcW w:w="2518" w:type="pct"/>
          </w:tcPr>
          <w:p w:rsidR="00BB031C" w:rsidRPr="00BB031C" w:rsidRDefault="00BB031C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За периоды с 2021г. по 2022г.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р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ента-</w:t>
            </w:r>
            <w:proofErr w:type="spellStart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бельность</w:t>
            </w:r>
            <w:proofErr w:type="spellEnd"/>
            <w:proofErr w:type="gramEnd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внеоборотных</w:t>
            </w:r>
            <w:proofErr w:type="spellEnd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активов 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ООО «Оазис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» снизилась на 95,91. В 2021г. рентабель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ность </w:t>
            </w:r>
            <w:proofErr w:type="spellStart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внеоборотных</w:t>
            </w:r>
            <w:proofErr w:type="spellEnd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активов 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составила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127,40, а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на ко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нец</w:t>
            </w:r>
            <w:proofErr w:type="gramEnd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2022г. –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31,49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. Это свидетельствует о 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том, что компания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неспособна 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обе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с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печивать достаточный объем прибыли по отношению к основным средствам компании.</w:t>
            </w:r>
          </w:p>
          <w:p w:rsidR="00BB031C" w:rsidRDefault="00BB031C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Для снижения риска и повышения рентабельности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внеоборотных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акт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вов необходимо:</w:t>
            </w:r>
          </w:p>
          <w:p w:rsidR="00AE5FC4" w:rsidRPr="00AE5FC4" w:rsidRDefault="00AE5FC4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снижение расходов на пр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изводство;</w:t>
            </w:r>
          </w:p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повышение прибыли компании.</w:t>
            </w:r>
          </w:p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оптимизация активов компании.</w:t>
            </w:r>
          </w:p>
          <w:p w:rsidR="00FC3D46" w:rsidRPr="005260E2" w:rsidRDefault="00FC3D46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C3D46" w:rsidRPr="005260E2" w:rsidTr="00997AF7">
        <w:tc>
          <w:tcPr>
            <w:tcW w:w="2482" w:type="pct"/>
          </w:tcPr>
          <w:p w:rsidR="00FC3D46" w:rsidRDefault="00FC3D46" w:rsidP="00997AF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C3D46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3. Рентабельность реализации - один из основных финансовых показателей для оценки эффективности работы компании. Коэффициент показывает отношение прибыли от продаж к в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ы</w:t>
            </w:r>
            <w:r w:rsidRPr="00FC3D46">
              <w:rPr>
                <w:rFonts w:asciiTheme="minorHAnsi" w:hAnsiTheme="minorHAnsi" w:cstheme="minorHAnsi"/>
                <w:sz w:val="28"/>
                <w:szCs w:val="28"/>
              </w:rPr>
              <w:t>ручке за определённый период без учёта акцизов и НДС.</w:t>
            </w:r>
          </w:p>
        </w:tc>
        <w:tc>
          <w:tcPr>
            <w:tcW w:w="2518" w:type="pct"/>
          </w:tcPr>
          <w:p w:rsidR="00BB031C" w:rsidRPr="00BB031C" w:rsidRDefault="00BB031C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За п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ериоды с 2021г. по 2022г. рент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бельность 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реализац</w:t>
            </w:r>
            <w:proofErr w:type="gramStart"/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 xml:space="preserve">ии 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ООО</w:t>
            </w:r>
            <w:proofErr w:type="gramEnd"/>
            <w:r w:rsidR="00882E4A">
              <w:rPr>
                <w:rFonts w:asciiTheme="minorHAnsi" w:hAnsiTheme="minorHAnsi" w:cstheme="minorHAnsi"/>
                <w:sz w:val="28"/>
                <w:szCs w:val="28"/>
              </w:rPr>
              <w:t xml:space="preserve"> «Оазис» сни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зилась на 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1,11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. В 2021г. рента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бел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ь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ность 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реализации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составила </w:t>
            </w:r>
            <w:r w:rsidR="00417EAD">
              <w:rPr>
                <w:rFonts w:asciiTheme="minorHAnsi" w:hAnsiTheme="minorHAnsi" w:cstheme="minorHAnsi"/>
                <w:sz w:val="28"/>
                <w:szCs w:val="28"/>
              </w:rPr>
              <w:t xml:space="preserve">1,89, а </w:t>
            </w:r>
            <w:proofErr w:type="gramStart"/>
            <w:r w:rsidR="00417EAD">
              <w:rPr>
                <w:rFonts w:asciiTheme="minorHAnsi" w:hAnsiTheme="minorHAnsi" w:cstheme="minorHAnsi"/>
                <w:sz w:val="28"/>
                <w:szCs w:val="28"/>
              </w:rPr>
              <w:t xml:space="preserve">на 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ко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нец</w:t>
            </w:r>
            <w:proofErr w:type="gramEnd"/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2022г. – 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0,78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. Это свидетел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ь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ствует о том, 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что предприятие не о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т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слеживает эффективность распред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ления расходов или плохо проработ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ло стратегию ценообразования. Это говорит о неэффективности избра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н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ной методики управления либо пов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ы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шенном уровне производственных и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з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держек, и требует оперативного пр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и</w:t>
            </w:r>
            <w:r w:rsidR="00882E4A" w:rsidRPr="00882E4A">
              <w:rPr>
                <w:rFonts w:asciiTheme="minorHAnsi" w:hAnsiTheme="minorHAnsi" w:cstheme="minorHAnsi"/>
                <w:sz w:val="28"/>
                <w:szCs w:val="28"/>
              </w:rPr>
              <w:t>нятия мер по оптимизации бизнес-процессов.</w:t>
            </w:r>
          </w:p>
          <w:p w:rsidR="00882E4A" w:rsidRDefault="00BB031C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Для снижения риска и повышения рентабельности </w:t>
            </w:r>
            <w:r w:rsidR="00882E4A">
              <w:rPr>
                <w:rFonts w:asciiTheme="minorHAnsi" w:hAnsiTheme="minorHAnsi" w:cstheme="minorHAnsi"/>
                <w:sz w:val="28"/>
                <w:szCs w:val="28"/>
              </w:rPr>
              <w:t>реализации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 xml:space="preserve"> необх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BB031C">
              <w:rPr>
                <w:rFonts w:asciiTheme="minorHAnsi" w:hAnsiTheme="minorHAnsi" w:cstheme="minorHAnsi"/>
                <w:sz w:val="28"/>
                <w:szCs w:val="28"/>
              </w:rPr>
              <w:t>димо:</w:t>
            </w:r>
          </w:p>
          <w:p w:rsidR="00AE5FC4" w:rsidRPr="00AE5FC4" w:rsidRDefault="00AE5FC4" w:rsidP="00BB031C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- увеличения </w:t>
            </w:r>
            <w:proofErr w:type="gramStart"/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прибыли</w:t>
            </w:r>
            <w:proofErr w:type="gramEnd"/>
            <w:r w:rsidRPr="00AE5FC4">
              <w:rPr>
                <w:rFonts w:asciiTheme="minorHAnsi" w:hAnsiTheme="minorHAnsi" w:cstheme="minorHAnsi"/>
                <w:sz w:val="28"/>
                <w:szCs w:val="28"/>
              </w:rPr>
              <w:t xml:space="preserve"> кажется пов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ы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шение цен на товары и услуги</w:t>
            </w:r>
          </w:p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уменьшение затрат и издержек фи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р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мы</w:t>
            </w:r>
          </w:p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приобретение товаров по более ни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з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ким ценам</w:t>
            </w:r>
          </w:p>
          <w:p w:rsidR="00AE5FC4" w:rsidRPr="00AE5FC4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увеличение доли наиболее продав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емых товаров</w:t>
            </w:r>
          </w:p>
          <w:p w:rsidR="00FC3D46" w:rsidRPr="005260E2" w:rsidRDefault="00AE5FC4" w:rsidP="00AE5FC4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E5FC4">
              <w:rPr>
                <w:rFonts w:asciiTheme="minorHAnsi" w:hAnsiTheme="minorHAnsi" w:cstheme="minorHAnsi"/>
                <w:sz w:val="28"/>
                <w:szCs w:val="28"/>
              </w:rPr>
              <w:t>- продвижение, реклама, маркетинг.</w:t>
            </w:r>
          </w:p>
        </w:tc>
      </w:tr>
      <w:tr w:rsidR="00692EFF" w:rsidRPr="005260E2" w:rsidTr="00692EFF">
        <w:tc>
          <w:tcPr>
            <w:tcW w:w="5000" w:type="pct"/>
            <w:gridSpan w:val="2"/>
          </w:tcPr>
          <w:p w:rsidR="00692EFF" w:rsidRPr="005260E2" w:rsidRDefault="00692EFF" w:rsidP="00692EF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Кредитные риски</w:t>
            </w:r>
          </w:p>
        </w:tc>
      </w:tr>
      <w:tr w:rsidR="00FC3D46" w:rsidRPr="005260E2" w:rsidTr="00997AF7">
        <w:tc>
          <w:tcPr>
            <w:tcW w:w="2482" w:type="pct"/>
          </w:tcPr>
          <w:p w:rsidR="00FC3D46" w:rsidRDefault="00692EFF" w:rsidP="00997AF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Р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иски связаны с возможными небл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гоприятными для организации п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следствиями при неисполнении (н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надлежащем исполнении) другими лицами обязательств по предоста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в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 xml:space="preserve">ленным им заемным средствам (в том 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числе в форме покупки облигаций, векселей, предоставлении отсрочки и рассрочки оплаты за проданные тов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а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ры, выполненные работы или оказа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н</w:t>
            </w:r>
            <w:r w:rsidRPr="00692EFF">
              <w:rPr>
                <w:rFonts w:asciiTheme="minorHAnsi" w:hAnsiTheme="minorHAnsi" w:cstheme="minorHAnsi"/>
                <w:sz w:val="28"/>
                <w:szCs w:val="28"/>
              </w:rPr>
              <w:t>ные услуги)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:rsidR="00692EFF" w:rsidRDefault="00692EFF" w:rsidP="00997AF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1.Коэффициент автономии </w:t>
            </w:r>
            <w:r w:rsidR="00417EAD">
              <w:rPr>
                <w:rFonts w:asciiTheme="minorHAnsi" w:hAnsiTheme="minorHAnsi" w:cstheme="minorHAnsi"/>
                <w:sz w:val="28"/>
                <w:szCs w:val="28"/>
              </w:rPr>
              <w:t xml:space="preserve">- 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характ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ризует, в какой степени активы пре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д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приятия сформированы за счет со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б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ственных средств. Рост коэффицие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н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та в динамике свидетельствует об увеличении финансовой прочности предприятия, его стабильности и н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е</w:t>
            </w:r>
            <w:r w:rsidR="00417EAD" w:rsidRPr="00417EAD">
              <w:rPr>
                <w:rFonts w:asciiTheme="minorHAnsi" w:hAnsiTheme="minorHAnsi" w:cstheme="minorHAnsi"/>
                <w:sz w:val="28"/>
                <w:szCs w:val="28"/>
              </w:rPr>
              <w:t>зависимости от внешних кредиторов</w:t>
            </w:r>
            <w:r w:rsidR="0052164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518" w:type="pct"/>
          </w:tcPr>
          <w:p w:rsidR="00FC3D46" w:rsidRPr="005260E2" w:rsidRDefault="00FC3D46" w:rsidP="00997AF7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C3D46" w:rsidRPr="005260E2" w:rsidTr="005260E2">
        <w:tc>
          <w:tcPr>
            <w:tcW w:w="2482" w:type="pct"/>
          </w:tcPr>
          <w:p w:rsidR="00FC3D46" w:rsidRDefault="00FC3D46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18" w:type="pct"/>
          </w:tcPr>
          <w:p w:rsidR="00FC3D46" w:rsidRPr="005260E2" w:rsidRDefault="00FC3D46" w:rsidP="005260E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52164D" w:rsidRDefault="0052164D">
      <w:pPr>
        <w:pStyle w:val="a3"/>
        <w:jc w:val="both"/>
      </w:pPr>
      <w:r>
        <w:br w:type="page"/>
      </w:r>
    </w:p>
    <w:p w:rsidR="00685678" w:rsidRDefault="00685678">
      <w:pPr>
        <w:pStyle w:val="a3"/>
        <w:jc w:val="both"/>
      </w:pPr>
      <w:bookmarkStart w:id="0" w:name="_GoBack"/>
      <w:bookmarkEnd w:id="0"/>
    </w:p>
    <w:sectPr w:rsidR="00685678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A3C10"/>
    <w:multiLevelType w:val="singleLevel"/>
    <w:tmpl w:val="D456A686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1">
    <w:nsid w:val="6C7A60BA"/>
    <w:multiLevelType w:val="hybridMultilevel"/>
    <w:tmpl w:val="3906E610"/>
    <w:lvl w:ilvl="0" w:tplc="B47C669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0CD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930678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76E607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658B34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9CA023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3B836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FAED6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34A38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6D605A21"/>
    <w:multiLevelType w:val="singleLevel"/>
    <w:tmpl w:val="BA48FAA2"/>
    <w:name w:val="Bullet 3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eastAsia="Wingdings" w:hAnsi="Wingdings" w:cs="Wingdings"/>
      </w:rPr>
    </w:lvl>
  </w:abstractNum>
  <w:abstractNum w:abstractNumId="3">
    <w:nsid w:val="724217C3"/>
    <w:multiLevelType w:val="singleLevel"/>
    <w:tmpl w:val="8B2E0F7C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4"/>
  </w:compat>
  <w:rsids>
    <w:rsidRoot w:val="00685678"/>
    <w:rsid w:val="00066BB7"/>
    <w:rsid w:val="000D7353"/>
    <w:rsid w:val="00234B83"/>
    <w:rsid w:val="003406E9"/>
    <w:rsid w:val="00415926"/>
    <w:rsid w:val="00417EAD"/>
    <w:rsid w:val="00434C1E"/>
    <w:rsid w:val="0052164D"/>
    <w:rsid w:val="005260E2"/>
    <w:rsid w:val="005424F2"/>
    <w:rsid w:val="00685678"/>
    <w:rsid w:val="00692EFF"/>
    <w:rsid w:val="00882E4A"/>
    <w:rsid w:val="00925C74"/>
    <w:rsid w:val="00A41694"/>
    <w:rsid w:val="00A65057"/>
    <w:rsid w:val="00AE5FC4"/>
    <w:rsid w:val="00BB031C"/>
    <w:rsid w:val="00CD247F"/>
    <w:rsid w:val="00E40061"/>
    <w:rsid w:val="00E6232C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  <w:style w:type="table" w:styleId="a4">
    <w:name w:val="Table Grid"/>
    <w:basedOn w:val="a1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  <w:style w:type="table" w:styleId="a4">
    <w:name w:val="Table Grid"/>
    <w:basedOn w:val="a1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2024-02-12T09:39:00Z</dcterms:created>
  <dcterms:modified xsi:type="dcterms:W3CDTF">2024-03-02T21:00:00Z</dcterms:modified>
</cp:coreProperties>
</file>