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  <Override PartName="/word/charts/colors2.xml" ContentType="application/vnd.ms-office.chartcolorstyle+xml"/>
  <Override PartName="/word/charts/style2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D8" w:rsidRPr="007C71D8" w:rsidRDefault="007C71D8" w:rsidP="007C71D8">
      <w:r>
        <w:t>Вывод по анализу к</w:t>
      </w:r>
      <w:r w:rsidRPr="007C71D8">
        <w:t>оэффициент</w:t>
      </w:r>
      <w:r>
        <w:t>ов</w:t>
      </w:r>
      <w:r w:rsidRPr="007C71D8">
        <w:t xml:space="preserve"> ликвидности АО "МАОУ" за 2021</w:t>
      </w:r>
      <w:r>
        <w:t>–</w:t>
      </w:r>
      <w:r w:rsidRPr="007C71D8">
        <w:t>2022 гг.</w:t>
      </w:r>
      <w:r>
        <w:t>:</w:t>
      </w:r>
    </w:p>
    <w:p w:rsidR="00CB26DC" w:rsidRDefault="007C71D8" w:rsidP="007C71D8">
      <w:r w:rsidRPr="007C71D8">
        <w:t>На основании данных таблицы 1 можно сделать выводы о том, что в 2021-2022 гг. АО «МАОУ» платёжеспособная на дату составления баланса, так как коэффициент абсолютной ликвидности выше рекомендуемого значения и составляет 3.65 и 3,96 соответственно. В организации в 2021-2022 гг. достаточно оборотных средств для покрытия краткосрочных обязательств, так как коэффициент критической ликвидности выше рекомендуемого значения и составляет 4,06 и 4,1 соответственно, но такая ситуация отягощает оборотный капитал. Коэффициент текущей ликвидности в 2021-2022 гг. также выше рекомендуемого значения и составляет 4,85 и 4,68 соответственно, при этом данные значения свидетельствуют о том, что происходит замедление оборачиваемости оборотных средств, что отрицательно сказывается на финансовом положении АО «МАОУ».</w:t>
      </w:r>
    </w:p>
    <w:p w:rsidR="0031057C" w:rsidRDefault="0031057C" w:rsidP="0031057C">
      <w:pPr>
        <w:ind w:firstLine="0"/>
      </w:pPr>
      <w:r>
        <w:rPr>
          <w:noProof/>
          <w:lang w:eastAsia="ru-RU"/>
        </w:rPr>
        <w:drawing>
          <wp:inline distT="0" distB="0" distL="0" distR="0" wp14:anchorId="64C33902" wp14:editId="2AF5184D">
            <wp:extent cx="5991225" cy="40290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C71D8" w:rsidRDefault="007C71D8" w:rsidP="007C71D8"/>
    <w:p w:rsidR="007C71D8" w:rsidRDefault="007C71D8" w:rsidP="007C71D8">
      <w:r>
        <w:lastRenderedPageBreak/>
        <w:t xml:space="preserve">Вывод по анализу </w:t>
      </w:r>
      <w:r w:rsidRPr="007C71D8">
        <w:t>интенсивности использования основных фондов АО "МАОУ" за 2021-2022 гг.</w:t>
      </w:r>
      <w:r>
        <w:t>:</w:t>
      </w:r>
    </w:p>
    <w:p w:rsidR="007C71D8" w:rsidRDefault="005A1813" w:rsidP="005A1813">
      <w:r>
        <w:t xml:space="preserve">В </w:t>
      </w:r>
      <w:r w:rsidRPr="007C71D8">
        <w:t>АО «МАОУ»</w:t>
      </w:r>
      <w:r>
        <w:t xml:space="preserve"> в 2022 году по сравнению с 2021 годом фондоотдача увеличилась на 0,29 руб., это свидетельствует о повышении интенсивности использования основных средств организацией. </w:t>
      </w:r>
      <w:proofErr w:type="spellStart"/>
      <w:r>
        <w:t>Фондоёмкость</w:t>
      </w:r>
      <w:proofErr w:type="spellEnd"/>
      <w:r>
        <w:t xml:space="preserve"> в 2022 году снизилась на 0,25 руб. основных средств, приходящихся на 1 руб. готовой продукции, это показывает улучшение использования оборудования. </w:t>
      </w:r>
      <w:proofErr w:type="spellStart"/>
      <w:r w:rsidRPr="005A1813">
        <w:rPr>
          <w:color w:val="FF0000"/>
        </w:rPr>
        <w:t>Фондовооружённость</w:t>
      </w:r>
      <w:proofErr w:type="spellEnd"/>
      <w:r w:rsidRPr="005A1813">
        <w:rPr>
          <w:color w:val="FF0000"/>
        </w:rPr>
        <w:t xml:space="preserve"> организации снизилась на 1034,24 руб./чел., </w:t>
      </w:r>
      <w:proofErr w:type="spellStart"/>
      <w:r w:rsidRPr="005A1813">
        <w:t>Фо</w:t>
      </w:r>
      <w:bookmarkStart w:id="0" w:name="_GoBack"/>
      <w:bookmarkEnd w:id="0"/>
      <w:r w:rsidRPr="005A1813">
        <w:t>ндорентабельность</w:t>
      </w:r>
      <w:proofErr w:type="spellEnd"/>
      <w:r w:rsidRPr="005A1813">
        <w:t xml:space="preserve"> АО «МАОУ» в 2022 году по сравнению с 2021 годом</w:t>
      </w:r>
      <w:r>
        <w:t xml:space="preserve"> возросла на 8,82 %, что свидетельствует о повышении эффективности использования основных средств организацией.</w:t>
      </w:r>
    </w:p>
    <w:p w:rsidR="0031057C" w:rsidRDefault="0031057C" w:rsidP="0031057C">
      <w:pPr>
        <w:ind w:firstLine="0"/>
      </w:pPr>
      <w:r>
        <w:rPr>
          <w:noProof/>
          <w:lang w:eastAsia="ru-RU"/>
        </w:rPr>
        <w:drawing>
          <wp:inline distT="0" distB="0" distL="0" distR="0" wp14:anchorId="7FE1FD75" wp14:editId="01461778">
            <wp:extent cx="5962650" cy="31813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057C" w:rsidRDefault="0031057C" w:rsidP="005A1813"/>
    <w:p w:rsidR="0031057C" w:rsidRDefault="0031057C" w:rsidP="0031057C">
      <w:r>
        <w:t xml:space="preserve">Вывод по анализу </w:t>
      </w:r>
      <w:r w:rsidRPr="0031057C">
        <w:t>оборачиваемости оборотных средств АО "МАОУ" за 2021-2022 гг.</w:t>
      </w:r>
      <w:r>
        <w:t>:</w:t>
      </w:r>
    </w:p>
    <w:p w:rsidR="00A13C52" w:rsidRDefault="0031057C" w:rsidP="0031057C">
      <w:r>
        <w:t>Оборачиваемость оборотных средств в отчётном 2022 году замедлилась на 0,05 оборота и скорос</w:t>
      </w:r>
      <w:r w:rsidR="00A13C52">
        <w:t>ть одного оборота увеличилась на 4 дня, это свидетельствует о дополнительном вовлечении средств в оборот</w:t>
      </w:r>
      <w:r>
        <w:t xml:space="preserve">       </w:t>
      </w:r>
    </w:p>
    <w:p w:rsidR="00A13C52" w:rsidRDefault="00A13C52" w:rsidP="0031057C"/>
    <w:p w:rsidR="0031057C" w:rsidRDefault="0031057C" w:rsidP="0031057C">
      <w:r>
        <w:t xml:space="preserve">       </w:t>
      </w:r>
    </w:p>
    <w:p w:rsidR="0031057C" w:rsidRPr="005A1813" w:rsidRDefault="0031057C" w:rsidP="005A1813"/>
    <w:p w:rsidR="007C71D8" w:rsidRPr="007C71D8" w:rsidRDefault="007C71D8" w:rsidP="007C71D8"/>
    <w:sectPr w:rsidR="007C71D8" w:rsidRPr="007C71D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77" w:rsidRDefault="00F87477" w:rsidP="007C71D8">
      <w:pPr>
        <w:spacing w:line="240" w:lineRule="auto"/>
      </w:pPr>
      <w:r>
        <w:separator/>
      </w:r>
    </w:p>
  </w:endnote>
  <w:endnote w:type="continuationSeparator" w:id="0">
    <w:p w:rsidR="00F87477" w:rsidRDefault="00F87477" w:rsidP="007C7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77" w:rsidRDefault="00F87477" w:rsidP="007C71D8">
      <w:pPr>
        <w:spacing w:line="240" w:lineRule="auto"/>
      </w:pPr>
      <w:r>
        <w:separator/>
      </w:r>
    </w:p>
  </w:footnote>
  <w:footnote w:type="continuationSeparator" w:id="0">
    <w:p w:rsidR="00F87477" w:rsidRDefault="00F87477" w:rsidP="007C7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1D8" w:rsidRPr="007C71D8" w:rsidRDefault="007C71D8">
    <w:pPr>
      <w:pStyle w:val="a3"/>
      <w:rPr>
        <w:rFonts w:cs="Times New Roman"/>
        <w:szCs w:val="28"/>
      </w:rPr>
    </w:pPr>
    <w:proofErr w:type="spellStart"/>
    <w:r w:rsidRPr="007C71D8">
      <w:rPr>
        <w:rFonts w:cs="Times New Roman"/>
        <w:szCs w:val="28"/>
      </w:rPr>
      <w:t>Габбасова</w:t>
    </w:r>
    <w:proofErr w:type="spellEnd"/>
    <w:r w:rsidRPr="007C71D8">
      <w:rPr>
        <w:rFonts w:cs="Times New Roman"/>
        <w:szCs w:val="28"/>
      </w:rPr>
      <w:t xml:space="preserve"> Милена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6E"/>
    <w:rsid w:val="002C4EC0"/>
    <w:rsid w:val="0031057C"/>
    <w:rsid w:val="0032046E"/>
    <w:rsid w:val="005A1813"/>
    <w:rsid w:val="007743B7"/>
    <w:rsid w:val="007C71D8"/>
    <w:rsid w:val="00A13C52"/>
    <w:rsid w:val="00AE19BA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1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71D8"/>
  </w:style>
  <w:style w:type="paragraph" w:styleId="a5">
    <w:name w:val="footer"/>
    <w:basedOn w:val="a"/>
    <w:link w:val="a6"/>
    <w:uiPriority w:val="99"/>
    <w:unhideWhenUsed/>
    <w:rsid w:val="007C71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71D8"/>
  </w:style>
  <w:style w:type="paragraph" w:styleId="a7">
    <w:name w:val="Balloon Text"/>
    <w:basedOn w:val="a"/>
    <w:link w:val="a8"/>
    <w:uiPriority w:val="99"/>
    <w:semiHidden/>
    <w:unhideWhenUsed/>
    <w:rsid w:val="00AE19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19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1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71D8"/>
  </w:style>
  <w:style w:type="paragraph" w:styleId="a5">
    <w:name w:val="footer"/>
    <w:basedOn w:val="a"/>
    <w:link w:val="a6"/>
    <w:uiPriority w:val="99"/>
    <w:unhideWhenUsed/>
    <w:rsid w:val="007C71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71D8"/>
  </w:style>
  <w:style w:type="paragraph" w:styleId="a7">
    <w:name w:val="Balloon Text"/>
    <w:basedOn w:val="a"/>
    <w:link w:val="a8"/>
    <w:uiPriority w:val="99"/>
    <w:semiHidden/>
    <w:unhideWhenUsed/>
    <w:rsid w:val="00AE19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1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C:\Users\1\Desktop\&#1040;&#1054;%20&#1052;&#1040;&#1054;&#105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oleObject" Target="file:///C:\Users\1\Desktop\&#1040;&#1054;%20&#1052;&#1040;&#1054;&#105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Коэффициенты ликвидности АО "МАОУ" за 2021-2022 гг.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Т1!$C$2</c:f>
              <c:strCache>
                <c:ptCount val="1"/>
                <c:pt idx="0">
                  <c:v>2021 г.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Т1!$B$3:$B$5</c:f>
              <c:strCache>
                <c:ptCount val="3"/>
                <c:pt idx="0">
                  <c:v>Коэффициент абсолютной ликвидности</c:v>
                </c:pt>
                <c:pt idx="1">
                  <c:v>Коэффициент критической ликвидности </c:v>
                </c:pt>
                <c:pt idx="2">
                  <c:v>Коэффициент текущей ликвидности</c:v>
                </c:pt>
              </c:strCache>
            </c:strRef>
          </c:cat>
          <c:val>
            <c:numRef>
              <c:f>Т1!$C$3:$C$5</c:f>
              <c:numCache>
                <c:formatCode>0.00</c:formatCode>
                <c:ptCount val="3"/>
                <c:pt idx="0">
                  <c:v>3.6471349927209991</c:v>
                </c:pt>
                <c:pt idx="1">
                  <c:v>4.0557152320111376</c:v>
                </c:pt>
                <c:pt idx="2">
                  <c:v>4.8451425299486912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05-414B-8B11-6C24E7548C9E}"/>
            </c:ext>
          </c:extLst>
        </c:ser>
        <c:ser>
          <c:idx val="1"/>
          <c:order val="1"/>
          <c:tx>
            <c:strRef>
              <c:f>Т1!$D$2</c:f>
              <c:strCache>
                <c:ptCount val="1"/>
                <c:pt idx="0">
                  <c:v>2022 г.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Т1!$B$3:$B$5</c:f>
              <c:strCache>
                <c:ptCount val="3"/>
                <c:pt idx="0">
                  <c:v>Коэффициент абсолютной ликвидности</c:v>
                </c:pt>
                <c:pt idx="1">
                  <c:v>Коэффициент критической ликвидности </c:v>
                </c:pt>
                <c:pt idx="2">
                  <c:v>Коэффициент текущей ликвидности</c:v>
                </c:pt>
              </c:strCache>
            </c:strRef>
          </c:cat>
          <c:val>
            <c:numRef>
              <c:f>Т1!$D$3:$D$5</c:f>
              <c:numCache>
                <c:formatCode>0.00</c:formatCode>
                <c:ptCount val="3"/>
                <c:pt idx="0">
                  <c:v>3.9560909105638742</c:v>
                </c:pt>
                <c:pt idx="1">
                  <c:v>4.0993706441002802</c:v>
                </c:pt>
                <c:pt idx="2">
                  <c:v>4.6788815102689867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05-414B-8B11-6C24E7548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2680704"/>
        <c:axId val="152682496"/>
      </c:barChart>
      <c:catAx>
        <c:axId val="152680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82496"/>
        <c:crosses val="autoZero"/>
        <c:auto val="1"/>
        <c:lblAlgn val="ctr"/>
        <c:lblOffset val="100"/>
        <c:noMultiLvlLbl val="0"/>
      </c:catAx>
      <c:valAx>
        <c:axId val="152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8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 интенсивности использования основных фондов АО "МАОУ" за 2021-2022 гг.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Т2!$C$2</c:f>
              <c:strCache>
                <c:ptCount val="1"/>
                <c:pt idx="0">
                  <c:v>2021 г.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Т2!$B$3:$B$6</c:f>
              <c:strCache>
                <c:ptCount val="4"/>
                <c:pt idx="0">
                  <c:v>Фондоотдача</c:v>
                </c:pt>
                <c:pt idx="1">
                  <c:v>Фондовооружённость</c:v>
                </c:pt>
                <c:pt idx="2">
                  <c:v>Фондоёмкость</c:v>
                </c:pt>
                <c:pt idx="3">
                  <c:v>Фондорентабельность</c:v>
                </c:pt>
              </c:strCache>
            </c:strRef>
          </c:cat>
          <c:val>
            <c:numRef>
              <c:f>Т2!$C$3:$C$6</c:f>
              <c:numCache>
                <c:formatCode>0.00</c:formatCode>
                <c:ptCount val="4"/>
                <c:pt idx="0">
                  <c:v>0.94456502379510299</c:v>
                </c:pt>
                <c:pt idx="1">
                  <c:v>28451.7575</c:v>
                </c:pt>
                <c:pt idx="2">
                  <c:v>1.0586883642823959</c:v>
                </c:pt>
                <c:pt idx="3">
                  <c:v>0.16110533769311086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2F2-4E88-A296-7E2DDDBE028B}"/>
            </c:ext>
          </c:extLst>
        </c:ser>
        <c:ser>
          <c:idx val="1"/>
          <c:order val="1"/>
          <c:tx>
            <c:strRef>
              <c:f>Т2!$D$2</c:f>
              <c:strCache>
                <c:ptCount val="1"/>
                <c:pt idx="0">
                  <c:v>2022 г.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Т2!$B$3:$B$6</c:f>
              <c:strCache>
                <c:ptCount val="4"/>
                <c:pt idx="0">
                  <c:v>Фондоотдача</c:v>
                </c:pt>
                <c:pt idx="1">
                  <c:v>Фондовооружённость</c:v>
                </c:pt>
                <c:pt idx="2">
                  <c:v>Фондоёмкость</c:v>
                </c:pt>
                <c:pt idx="3">
                  <c:v>Фондорентабельность</c:v>
                </c:pt>
              </c:strCache>
            </c:strRef>
          </c:cat>
          <c:val>
            <c:numRef>
              <c:f>Т2!$D$3:$D$6</c:f>
              <c:numCache>
                <c:formatCode>0.00</c:formatCode>
                <c:ptCount val="4"/>
                <c:pt idx="0">
                  <c:v>1.2333822766747289</c:v>
                </c:pt>
                <c:pt idx="1">
                  <c:v>27417.514285714286</c:v>
                </c:pt>
                <c:pt idx="2">
                  <c:v>0.81077863604142164</c:v>
                </c:pt>
                <c:pt idx="3">
                  <c:v>0.24931578320288145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2F2-4E88-A296-7E2DDDBE0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708992"/>
        <c:axId val="152710528"/>
        <c:axId val="152711616"/>
      </c:line3DChart>
      <c:catAx>
        <c:axId val="152708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710528"/>
        <c:crosses val="autoZero"/>
        <c:auto val="1"/>
        <c:lblAlgn val="ctr"/>
        <c:lblOffset val="100"/>
        <c:noMultiLvlLbl val="0"/>
      </c:catAx>
      <c:valAx>
        <c:axId val="15271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708992"/>
        <c:crosses val="autoZero"/>
        <c:crossBetween val="between"/>
      </c:valAx>
      <c:serAx>
        <c:axId val="1527116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710528"/>
        <c:crosses val="autoZero"/>
      </c:ser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Acer</cp:lastModifiedBy>
  <cp:revision>3</cp:revision>
  <dcterms:created xsi:type="dcterms:W3CDTF">2024-03-13T14:24:00Z</dcterms:created>
  <dcterms:modified xsi:type="dcterms:W3CDTF">2024-05-23T17:28:00Z</dcterms:modified>
</cp:coreProperties>
</file>