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November 15,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British Columbia Mobility Opportunities Society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318 - 425 Carrall 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Vancouver BC, V6B 6E3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Re: Proposal for Development of Parallel Mobility Device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following report addresses the value proposition that there exists an interest for a device that enables people with mobility impairments to actively participate in social outings to explore unpaved terrain in semi-urban parks. This has been prepared for the British Columbia Mobility Opportunities Society (BCMOS) in response to a request for the exploration and preliminary development of a conceptual evolution of the current trail rider product offering. The enclosed report details the first stages towards the process of offering a parallel offering to the trail rider. All supporting calculations herein were confirmed by a second member in </w:t>
      </w:r>
      <w:r w:rsidDel="00000000" w:rsidR="00000000" w:rsidRPr="00000000">
        <w:rPr>
          <w:rtl w:val="0"/>
        </w:rPr>
        <w:t xml:space="preserve">addition to the primary engineer.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Yours sincerely,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Andrea Escoto 53587333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Carson Hopkins 17042169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Julia Zhuravleva 37087160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Lukas Slotman 25823162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Ratthamnoon Prakitpong 63205165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Stephen Abraham 61092152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