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Is information from the  original project proposal/description correctly interpreted and referenced? 5</w:t>
      </w:r>
    </w:p>
    <w:p w:rsidR="00000000" w:rsidDel="00000000" w:rsidP="00000000" w:rsidRDefault="00000000" w:rsidRPr="00000000" w14:paraId="00000002">
      <w:pPr>
        <w:rPr>
          <w:color w:val="ff0000"/>
        </w:rPr>
      </w:pPr>
      <w:r w:rsidDel="00000000" w:rsidR="00000000" w:rsidRPr="00000000">
        <w:rPr>
          <w:color w:val="ff0000"/>
          <w:rtl w:val="0"/>
        </w:rPr>
        <w:t xml:space="preserve">Is there appropriate discussion, summarization and conclusion that directs the project team on what to do next? 10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recommendation will be a direct response to the “TrailRider</w:t>
      </w:r>
      <w:r w:rsidDel="00000000" w:rsidR="00000000" w:rsidRPr="00000000">
        <w:rPr>
          <w:vertAlign w:val="superscript"/>
          <w:rtl w:val="0"/>
        </w:rPr>
        <w:t xml:space="preserve">TM</w:t>
      </w:r>
      <w:r w:rsidDel="00000000" w:rsidR="00000000" w:rsidRPr="00000000">
        <w:rPr>
          <w:rtl w:val="0"/>
        </w:rPr>
        <w:t xml:space="preserve"> 5.0” proposal prepared by the UBC Department of Mechanical Engineering in conjunction with The Disability Foundation. </w:t>
      </w:r>
    </w:p>
    <w:p w:rsidR="00000000" w:rsidDel="00000000" w:rsidP="00000000" w:rsidRDefault="00000000" w:rsidRPr="00000000" w14:paraId="00000006">
      <w:pPr>
        <w:rPr/>
      </w:pPr>
      <w:r w:rsidDel="00000000" w:rsidR="00000000" w:rsidRPr="00000000">
        <w:rPr>
          <w:rtl w:val="0"/>
        </w:rPr>
        <w:t xml:space="preserve">The proposal is for an improved design of the rough-terrain wheelchair. Currently, riders must endure shock and assistants must be strong. The goal of the improved design is to expand the range of riders and assistants that can use the device. The proposal document introduces the single wheeled wheelchair, provides some background on how its used, and goes over the main features. Additionally, it lists ten potential improvements that BCMOS would like to be addressed. Listed below is a summary of our next steps in developing a recommendation for the new device: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Read through course guide and marking rubric as a team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Outline team expectations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Create a Gantt chart to keep the project on track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Create a risk register to mitigate team risk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Interview BCMOS representative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Identify stakeholders and needs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Complete research on rough terrain wheelchairs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Set a project scope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Identify a target market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Set requirements and specifications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