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  <w:t xml:space="preserve">The following Gantt chants are dated revisions from the beginning to the end of project. Initially, the Gantt Charts were fairly vague because the group did not have a solid idea how long each milestone would take. As the project neared to its end, the Gantt charts became more sophisticated.</w:t>
      </w:r>
    </w:p>
    <w:p w:rsidR="00000000" w:rsidDel="00000000" w:rsidP="00000000" w:rsidRDefault="00000000" w:rsidRPr="00000000" w14:paraId="00000002">
      <w:pPr>
        <w:spacing w:after="0" w:before="24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06647" cy="700563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6647" cy="700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  <w:t xml:space="preserve">Figure 1:  Initial Gantt chart from September 8 - 15</w:t>
      </w:r>
    </w:p>
    <w:p w:rsidR="00000000" w:rsidDel="00000000" w:rsidP="00000000" w:rsidRDefault="00000000" w:rsidRPr="00000000" w14:paraId="00000004">
      <w:pPr>
        <w:spacing w:after="12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529512" cy="4870944"/>
            <wp:effectExtent b="1329284" l="-1329283" r="-1329283" t="1329284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9512" cy="4870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  <w:t xml:space="preserve">Figure 2: Revised Gantt chart from September 16 - 22</w:t>
      </w:r>
    </w:p>
    <w:p w:rsidR="00000000" w:rsidDel="00000000" w:rsidP="00000000" w:rsidRDefault="00000000" w:rsidRPr="00000000" w14:paraId="00000006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76863" cy="753492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376863" cy="7534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  <w:t xml:space="preserve">Figure 3: Revised Gantt chart from September 23 - 29</w:t>
      </w:r>
    </w:p>
    <w:p w:rsidR="00000000" w:rsidDel="00000000" w:rsidP="00000000" w:rsidRDefault="00000000" w:rsidRPr="00000000" w14:paraId="00000009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3642" cy="767238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3642" cy="767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  <w:t xml:space="preserve">Figure 4: Revised Gantt chart from September 29 - October 6</w:t>
      </w:r>
    </w:p>
    <w:p w:rsidR="00000000" w:rsidDel="00000000" w:rsidP="00000000" w:rsidRDefault="00000000" w:rsidRPr="00000000" w14:paraId="0000000C">
      <w:pPr>
        <w:spacing w:after="12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7429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  <w:t xml:space="preserve">Figure 5: Revised Gantt chart from October 6 - 20</w:t>
      </w:r>
    </w:p>
    <w:p w:rsidR="00000000" w:rsidDel="00000000" w:rsidP="00000000" w:rsidRDefault="00000000" w:rsidRPr="00000000" w14:paraId="0000000E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19738" cy="774886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7748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  <w:t xml:space="preserve">Figure 6: Revised Gantt chart from October 20 -27</w:t>
      </w:r>
    </w:p>
    <w:p w:rsidR="00000000" w:rsidDel="00000000" w:rsidP="00000000" w:rsidRDefault="00000000" w:rsidRPr="00000000" w14:paraId="00000011">
      <w:pPr>
        <w:spacing w:after="12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05488" cy="770343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770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  <w:t xml:space="preserve">Figure 7:  Revised Gantt chart from October 28 - November 3</w:t>
      </w:r>
    </w:p>
    <w:p w:rsidR="00000000" w:rsidDel="00000000" w:rsidP="00000000" w:rsidRDefault="00000000" w:rsidRPr="00000000" w14:paraId="00000013">
      <w:pPr>
        <w:spacing w:after="12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  <w:t xml:space="preserve">Figure 8: Supplementary improved Gantt chart for the week of October 28 - November 3</w:t>
      </w:r>
    </w:p>
    <w:p w:rsidR="00000000" w:rsidDel="00000000" w:rsidP="00000000" w:rsidRDefault="00000000" w:rsidRPr="00000000" w14:paraId="00000015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7175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  <w:t xml:space="preserve">Figure 9:  Revised Gantt chart from  November 4 - 10</w:t>
      </w:r>
    </w:p>
    <w:p w:rsidR="00000000" w:rsidDel="00000000" w:rsidP="00000000" w:rsidRDefault="00000000" w:rsidRPr="00000000" w14:paraId="00000018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758112" cy="4346022"/>
            <wp:effectExtent b="1706045" l="-1706044" r="-1706044" t="1706045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58112" cy="4346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Figure 10 :  Risk Register</w:t>
      </w:r>
    </w:p>
    <w:sectPr>
      <w:footerReference r:id="rId16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