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Constraints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-Team knowledge and lack of experience as people with disabilities.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-Limited resources (can’t prototype or perform tests)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-Not enough interaction with stakeholders, including BCMOS. Mostly based on research.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-Money constraints (if we needed specific software)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to be sacrificed if needed: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-Cost because BCMOS seemed more concerned with product usability and customer satisfaction. They specified this being a ‘5 year plan’ down the road, so finances could fluctuate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-Search and Rescue Compatibility: From the Q/A in class, BCMOS seemed to say it like it was an afterthought and a goal they were working towards.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-Device portability: This seemed to be one of the less important target specifications from the Q/A session with BCMOS. They prioritized safety, rider independence and the ability to have one sherpa carry the Trail Rider.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