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F0647" w14:textId="71C43224" w:rsidR="007F7DD9" w:rsidRDefault="00237007">
      <w:r>
        <w:t>#1</w:t>
      </w:r>
    </w:p>
    <w:p w14:paraId="04EA71EF" w14:textId="6DBB6C49" w:rsidR="00237007" w:rsidRDefault="00237007">
      <w:pPr>
        <w:rPr>
          <w:noProof/>
        </w:rPr>
      </w:pPr>
      <w:r>
        <w:rPr>
          <w:noProof/>
        </w:rPr>
        <w:t>a)</w:t>
      </w:r>
    </w:p>
    <w:p w14:paraId="21AEBD76" w14:textId="7E1EBDE0" w:rsidR="00237007" w:rsidRDefault="00237007">
      <w:r>
        <w:rPr>
          <w:noProof/>
        </w:rPr>
        <w:drawing>
          <wp:inline distT="0" distB="0" distL="0" distR="0" wp14:anchorId="0554AFD8" wp14:editId="44826BBD">
            <wp:extent cx="5553075" cy="203138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1210" cy="20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D1F9" w14:textId="61E82457" w:rsidR="00237007" w:rsidRPr="00237007" w:rsidRDefault="00237007" w:rsidP="00237007">
      <w:pPr>
        <w:rPr>
          <w:noProof/>
        </w:rPr>
      </w:pPr>
      <w:r w:rsidRPr="00237007">
        <w:rPr>
          <w:noProof/>
        </w:rPr>
        <w:t>b)</w:t>
      </w:r>
    </w:p>
    <w:p w14:paraId="17597541" w14:textId="5A6C0C3F" w:rsidR="00237007" w:rsidRPr="0068439A" w:rsidRDefault="00237007" w:rsidP="00237007">
      <w:pPr>
        <w:rPr>
          <w:rFonts w:eastAsiaTheme="minorEastAsia"/>
          <w:sz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0"/>
                    </w:rPr>
                    <m:t>υ</m:t>
                  </m:r>
                </m:e>
              </m:acc>
            </m:e>
            <m:sub>
              <m:r>
                <w:rPr>
                  <w:rFonts w:ascii="Cambria Math" w:hAnsi="Cambria Math"/>
                  <w:sz w:val="40"/>
                </w:rPr>
                <m:t>xy</m:t>
              </m:r>
            </m:sub>
          </m:sSub>
          <m:r>
            <w:rPr>
              <w:rFonts w:ascii="Cambria Math" w:eastAsiaTheme="minorEastAsia" w:hAnsi="Cambria Math"/>
              <w:sz w:val="40"/>
            </w:rPr>
            <m:t>=1.1658</m:t>
          </m:r>
        </m:oMath>
      </m:oMathPara>
    </w:p>
    <w:p w14:paraId="454073FE" w14:textId="2BF9CF88" w:rsidR="00237007" w:rsidRDefault="00237007" w:rsidP="00237007">
      <w:r>
        <w:t>c) V</w:t>
      </w:r>
      <w:r w:rsidRPr="00237007">
        <w:t>ery high effective</w:t>
      </w:r>
      <w:r>
        <w:t xml:space="preserve"> Poisson’s </w:t>
      </w:r>
      <w:r w:rsidRPr="00237007">
        <w:t>ratio, strain in the transverse direction will be much higher than in the axial direction</w:t>
      </w:r>
      <w:r>
        <w:t>. This is the benefit of composites since most base materials have an upper limit of .5 for their Poisson’s ratio.</w:t>
      </w:r>
    </w:p>
    <w:p w14:paraId="4F42FAE2" w14:textId="01A4571F" w:rsidR="00237007" w:rsidRDefault="00237007" w:rsidP="00237007">
      <w:r>
        <w:t>S</w:t>
      </w:r>
      <w:r w:rsidR="00EB2054">
        <w:t xml:space="preserve">ource </w:t>
      </w:r>
      <w:r>
        <w:t xml:space="preserve">for common values: </w:t>
      </w:r>
      <w:hyperlink r:id="rId5" w:history="1">
        <w:r w:rsidRPr="00D83378">
          <w:rPr>
            <w:rStyle w:val="Hyperlink"/>
          </w:rPr>
          <w:t>https://www.engineeringtoolbox.com/poissons-ratio-d_1224.html</w:t>
        </w:r>
      </w:hyperlink>
    </w:p>
    <w:p w14:paraId="09F172C4" w14:textId="4E83BE7E" w:rsidR="00237007" w:rsidRPr="00BC4C4F" w:rsidRDefault="00BC4C4F" w:rsidP="00237007">
      <w:r w:rsidRPr="00BC4C4F">
        <w:t>d)</w:t>
      </w:r>
    </w:p>
    <w:p w14:paraId="543487DC" w14:textId="14747EEE" w:rsidR="00237007" w:rsidRDefault="003F330C" w:rsidP="00BC4C4F">
      <w:pPr>
        <w:tabs>
          <w:tab w:val="left" w:pos="6060"/>
        </w:tabs>
        <w:rPr>
          <w:noProof/>
        </w:rPr>
      </w:pPr>
      <w:r w:rsidRPr="003F330C">
        <w:rPr>
          <w:noProof/>
        </w:rPr>
        <w:t xml:space="preserve"> </w:t>
      </w:r>
      <w:r w:rsidR="008355E3">
        <w:rPr>
          <w:noProof/>
        </w:rPr>
        <w:drawing>
          <wp:inline distT="0" distB="0" distL="0" distR="0" wp14:anchorId="7926BA36" wp14:editId="47316608">
            <wp:extent cx="2108916" cy="33242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9199" cy="33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4F">
        <w:rPr>
          <w:noProof/>
        </w:rPr>
        <w:tab/>
      </w:r>
    </w:p>
    <w:p w14:paraId="76A009F5" w14:textId="7C5E275C" w:rsidR="00BC0DBA" w:rsidRDefault="00A71D33" w:rsidP="00BC4C4F">
      <w:pPr>
        <w:tabs>
          <w:tab w:val="left" w:pos="6060"/>
        </w:tabs>
      </w:pPr>
      <w:r>
        <w:lastRenderedPageBreak/>
        <w:t>#3</w:t>
      </w:r>
      <w:bookmarkStart w:id="0" w:name="_GoBack"/>
      <w:bookmarkEnd w:id="0"/>
    </w:p>
    <w:p w14:paraId="600A3E72" w14:textId="4B4DA274" w:rsidR="00BC0DBA" w:rsidRPr="00BC0DBA" w:rsidRDefault="00BC0DBA" w:rsidP="00BC4C4F">
      <w:pPr>
        <w:tabs>
          <w:tab w:val="left" w:pos="6060"/>
        </w:tabs>
        <w:rPr>
          <w:sz w:val="24"/>
        </w:rPr>
      </w:pPr>
      <w:r>
        <w:rPr>
          <w:noProof/>
          <w:sz w:val="24"/>
        </w:rPr>
        <w:drawing>
          <wp:inline distT="0" distB="0" distL="0" distR="0" wp14:anchorId="26DA111D" wp14:editId="2B0A7595">
            <wp:extent cx="3571875" cy="2771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DBA" w:rsidRPr="00BC0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07"/>
    <w:rsid w:val="00237007"/>
    <w:rsid w:val="003F330C"/>
    <w:rsid w:val="00427CD8"/>
    <w:rsid w:val="0068439A"/>
    <w:rsid w:val="00695088"/>
    <w:rsid w:val="007F7DD9"/>
    <w:rsid w:val="008355E3"/>
    <w:rsid w:val="009C7CFC"/>
    <w:rsid w:val="00A71D33"/>
    <w:rsid w:val="00B16C04"/>
    <w:rsid w:val="00BC0DBA"/>
    <w:rsid w:val="00BC4C4F"/>
    <w:rsid w:val="00C0798C"/>
    <w:rsid w:val="00EB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1DA9"/>
  <w15:chartTrackingRefBased/>
  <w15:docId w15:val="{71AE29C1-6CFF-4D6D-8701-963787E5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700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7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0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engineeringtoolbox.com/poissons-ratio-d_1224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Havoc</dc:creator>
  <cp:keywords/>
  <dc:description/>
  <cp:lastModifiedBy>Havoc</cp:lastModifiedBy>
  <cp:revision>10</cp:revision>
  <dcterms:created xsi:type="dcterms:W3CDTF">2018-02-20T18:07:00Z</dcterms:created>
  <dcterms:modified xsi:type="dcterms:W3CDTF">2018-02-20T19:03:00Z</dcterms:modified>
</cp:coreProperties>
</file>