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F446" w14:textId="26EC413A" w:rsidR="000A1B67" w:rsidRDefault="000A1B67">
      <w:proofErr w:type="spellStart"/>
      <w:r>
        <w:t>i</w:t>
      </w:r>
      <w:proofErr w:type="spellEnd"/>
      <w:r>
        <w:t>)</w:t>
      </w:r>
    </w:p>
    <w:p w14:paraId="6CF8BD1F" w14:textId="21870259" w:rsidR="00A36002" w:rsidRDefault="00D12DF9">
      <w:r>
        <w:rPr>
          <w:noProof/>
        </w:rPr>
        <w:drawing>
          <wp:inline distT="0" distB="0" distL="0" distR="0" wp14:anchorId="5371C47B" wp14:editId="360625A8">
            <wp:extent cx="5943600" cy="405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9083" cy="4070130"/>
                    </a:xfrm>
                    <a:prstGeom prst="rect">
                      <a:avLst/>
                    </a:prstGeom>
                  </pic:spPr>
                </pic:pic>
              </a:graphicData>
            </a:graphic>
          </wp:inline>
        </w:drawing>
      </w:r>
    </w:p>
    <w:p w14:paraId="1D7C4CBE" w14:textId="77777777" w:rsidR="000A1B67" w:rsidRDefault="000A1B67" w:rsidP="000A1B67">
      <w:pPr>
        <w:jc w:val="center"/>
      </w:pPr>
      <w:r>
        <w:rPr>
          <w:noProof/>
        </w:rPr>
        <w:drawing>
          <wp:inline distT="0" distB="0" distL="0" distR="0" wp14:anchorId="2D70CD16" wp14:editId="556331EC">
            <wp:extent cx="3895725" cy="60652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2009" cy="621510"/>
                    </a:xfrm>
                    <a:prstGeom prst="rect">
                      <a:avLst/>
                    </a:prstGeom>
                  </pic:spPr>
                </pic:pic>
              </a:graphicData>
            </a:graphic>
          </wp:inline>
        </w:drawing>
      </w:r>
    </w:p>
    <w:p w14:paraId="372B52DB" w14:textId="0A1D5F3B" w:rsidR="00B7174E" w:rsidRDefault="000A1B67" w:rsidP="00B7174E">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A1</m:t>
                        </m:r>
                      </m:sub>
                    </m:sSub>
                  </m:num>
                  <m:den>
                    <m:r>
                      <w:rPr>
                        <w:rFonts w:ascii="Cambria Math" w:hAnsi="Cambria Math"/>
                      </w:rPr>
                      <m:t>RT</m:t>
                    </m:r>
                  </m:den>
                </m:f>
              </m:e>
            </m:d>
          </m:e>
        </m:func>
      </m:oMath>
      <w:r w:rsidR="00B7174E">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exp⁡</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r>
                      <w:rPr>
                        <w:rFonts w:ascii="Cambria Math" w:hAnsi="Cambria Math"/>
                      </w:rPr>
                      <m:t>2</m:t>
                    </m:r>
                  </m:sub>
                </m:sSub>
              </m:num>
              <m:den>
                <m:r>
                  <w:rPr>
                    <w:rFonts w:ascii="Cambria Math" w:hAnsi="Cambria Math"/>
                  </w:rPr>
                  <m:t>RT</m:t>
                </m:r>
              </m:den>
            </m:f>
          </m:e>
        </m:d>
      </m:oMath>
    </w:p>
    <w:p w14:paraId="3CEA787E" w14:textId="77777777" w:rsidR="00B7174E" w:rsidRDefault="000A1B67" w:rsidP="000A1B67">
      <w:pPr>
        <w:rPr>
          <w:rFonts w:ascii="Times New Roman" w:eastAsiaTheme="minorEastAsia" w:hAnsi="Times New Roman" w:cs="Times New Roman"/>
          <w:sz w:val="24"/>
        </w:rPr>
      </w:pPr>
      <w:r w:rsidRPr="00A136DF">
        <w:rPr>
          <w:rFonts w:ascii="Times New Roman" w:eastAsiaTheme="minorEastAsia" w:hAnsi="Times New Roman" w:cs="Times New Roman"/>
          <w:sz w:val="24"/>
        </w:rPr>
        <w:t>ii)</w:t>
      </w:r>
    </w:p>
    <w:p w14:paraId="60F98BBE" w14:textId="14167746" w:rsidR="00E47B39" w:rsidRPr="00A136DF" w:rsidRDefault="000A1B67" w:rsidP="000A1B67">
      <w:pPr>
        <w:rPr>
          <w:rFonts w:ascii="Times New Roman" w:eastAsiaTheme="minorEastAsia" w:hAnsi="Times New Roman" w:cs="Times New Roman"/>
          <w:sz w:val="24"/>
        </w:rPr>
      </w:pPr>
      <w:r w:rsidRPr="00A136DF">
        <w:rPr>
          <w:rFonts w:ascii="Times New Roman" w:eastAsiaTheme="minorEastAsia" w:hAnsi="Times New Roman" w:cs="Times New Roman"/>
          <w:sz w:val="24"/>
        </w:rPr>
        <w:t xml:space="preserve"> </w:t>
      </w:r>
      <w:r w:rsidR="00BE6507" w:rsidRPr="00A136DF">
        <w:rPr>
          <w:rFonts w:ascii="Times New Roman" w:eastAsiaTheme="minorEastAsia" w:hAnsi="Times New Roman" w:cs="Times New Roman"/>
          <w:sz w:val="24"/>
        </w:rPr>
        <w:t xml:space="preserve"> </w:t>
      </w:r>
      <w:r w:rsidR="00BE6507" w:rsidRPr="00B7174E">
        <w:rPr>
          <w:rFonts w:ascii="Times New Roman" w:eastAsiaTheme="minorEastAsia" w:hAnsi="Times New Roman" w:cs="Times New Roman"/>
          <w:b/>
          <w:sz w:val="24"/>
        </w:rPr>
        <w:t>0-.3</w:t>
      </w:r>
      <w:r w:rsidR="00BE6507" w:rsidRPr="00A136DF">
        <w:rPr>
          <w:rFonts w:ascii="Times New Roman" w:eastAsiaTheme="minorEastAsia" w:hAnsi="Times New Roman" w:cs="Times New Roman"/>
          <w:sz w:val="24"/>
        </w:rPr>
        <w:t xml:space="preserve">: This represents </w:t>
      </w:r>
      <w:r w:rsidR="00E47B39" w:rsidRPr="00A136DF">
        <w:rPr>
          <w:rFonts w:ascii="Times New Roman" w:eastAsiaTheme="minorEastAsia" w:hAnsi="Times New Roman" w:cs="Times New Roman"/>
          <w:sz w:val="24"/>
        </w:rPr>
        <w:t>the activation dominated stage of the resin systems, in which the rate of cure starts out very quickly then would tend to zero</w:t>
      </w:r>
      <w:r w:rsidR="009D3780" w:rsidRPr="00A136DF">
        <w:rPr>
          <w:rFonts w:ascii="Times New Roman" w:eastAsiaTheme="minorEastAsia" w:hAnsi="Times New Roman" w:cs="Times New Roman"/>
          <w:sz w:val="24"/>
        </w:rPr>
        <w:t xml:space="preserve"> if the diffusion portion were not considered.  MTM45-1 experiences a very high rate of cure</w:t>
      </w:r>
      <w:r w:rsidR="005067B2" w:rsidRPr="00A136DF">
        <w:rPr>
          <w:rFonts w:ascii="Times New Roman" w:eastAsiaTheme="minorEastAsia" w:hAnsi="Times New Roman" w:cs="Times New Roman"/>
          <w:sz w:val="24"/>
        </w:rPr>
        <w:t xml:space="preserve"> in this region, where as 5320 starts out much slower</w:t>
      </w:r>
      <w:r w:rsidR="00A136DF">
        <w:rPr>
          <w:rFonts w:ascii="Times New Roman" w:eastAsiaTheme="minorEastAsia" w:hAnsi="Times New Roman" w:cs="Times New Roman"/>
          <w:sz w:val="24"/>
        </w:rPr>
        <w:t>, but its activation period last slightly longer.</w:t>
      </w:r>
    </w:p>
    <w:p w14:paraId="32624082" w14:textId="27992E31" w:rsidR="00E47B39" w:rsidRPr="00A136DF" w:rsidRDefault="00E47B39" w:rsidP="000A1B67">
      <w:pPr>
        <w:rPr>
          <w:rFonts w:ascii="Times New Roman" w:eastAsiaTheme="minorEastAsia" w:hAnsi="Times New Roman" w:cs="Times New Roman"/>
          <w:sz w:val="24"/>
        </w:rPr>
      </w:pPr>
      <w:r w:rsidRPr="00B7174E">
        <w:rPr>
          <w:rFonts w:ascii="Times New Roman" w:eastAsiaTheme="minorEastAsia" w:hAnsi="Times New Roman" w:cs="Times New Roman"/>
          <w:b/>
          <w:sz w:val="24"/>
        </w:rPr>
        <w:t>.3-.6</w:t>
      </w:r>
      <w:r w:rsidRPr="00A136DF">
        <w:rPr>
          <w:rFonts w:ascii="Times New Roman" w:eastAsiaTheme="minorEastAsia" w:hAnsi="Times New Roman" w:cs="Times New Roman"/>
          <w:sz w:val="24"/>
        </w:rPr>
        <w:t>:</w:t>
      </w:r>
      <w:r w:rsidR="00A136DF" w:rsidRPr="00A136DF">
        <w:rPr>
          <w:rFonts w:ascii="Times New Roman" w:eastAsiaTheme="minorEastAsia" w:hAnsi="Times New Roman" w:cs="Times New Roman"/>
          <w:sz w:val="24"/>
        </w:rPr>
        <w:t xml:space="preserve"> </w:t>
      </w:r>
      <w:r w:rsidRPr="00A136DF">
        <w:rPr>
          <w:rFonts w:ascii="Times New Roman" w:eastAsiaTheme="minorEastAsia" w:hAnsi="Times New Roman" w:cs="Times New Roman"/>
          <w:sz w:val="24"/>
        </w:rPr>
        <w:t>This is the diffusion dominated stage of the cure cycle</w:t>
      </w:r>
      <w:r w:rsidR="005067B2" w:rsidRPr="00A136DF">
        <w:rPr>
          <w:rFonts w:ascii="Times New Roman" w:eastAsiaTheme="minorEastAsia" w:hAnsi="Times New Roman" w:cs="Times New Roman"/>
          <w:sz w:val="24"/>
        </w:rPr>
        <w:t>. 5230 experiences a higher max cure rate</w:t>
      </w:r>
      <w:r w:rsidR="00FD74F9">
        <w:rPr>
          <w:rFonts w:ascii="Times New Roman" w:eastAsiaTheme="minorEastAsia" w:hAnsi="Times New Roman" w:cs="Times New Roman"/>
          <w:sz w:val="24"/>
        </w:rPr>
        <w:t xml:space="preserve"> sooner</w:t>
      </w:r>
      <w:r w:rsidR="005067B2" w:rsidRPr="00A136DF">
        <w:rPr>
          <w:rFonts w:ascii="Times New Roman" w:eastAsiaTheme="minorEastAsia" w:hAnsi="Times New Roman" w:cs="Times New Roman"/>
          <w:sz w:val="24"/>
        </w:rPr>
        <w:t xml:space="preserve"> during the diffusion period, but this does not last as long as the diffusion stage experienced by MTM45-1</w:t>
      </w:r>
      <w:r w:rsidR="00DC00A9">
        <w:rPr>
          <w:rFonts w:ascii="Times New Roman" w:eastAsiaTheme="minorEastAsia" w:hAnsi="Times New Roman" w:cs="Times New Roman"/>
          <w:sz w:val="24"/>
        </w:rPr>
        <w:t xml:space="preserve"> which starts later in </w:t>
      </w:r>
      <w:r w:rsidR="007A106C">
        <w:rPr>
          <w:rFonts w:ascii="Times New Roman" w:eastAsiaTheme="minorEastAsia" w:hAnsi="Times New Roman" w:cs="Times New Roman"/>
          <w:sz w:val="24"/>
        </w:rPr>
        <w:t>its</w:t>
      </w:r>
      <w:bookmarkStart w:id="0" w:name="_GoBack"/>
      <w:bookmarkEnd w:id="0"/>
      <w:r w:rsidR="00DC00A9">
        <w:rPr>
          <w:rFonts w:ascii="Times New Roman" w:eastAsiaTheme="minorEastAsia" w:hAnsi="Times New Roman" w:cs="Times New Roman"/>
          <w:sz w:val="24"/>
        </w:rPr>
        <w:t xml:space="preserve"> cure cycle</w:t>
      </w:r>
      <w:r w:rsidR="005067B2" w:rsidRPr="00A136DF">
        <w:rPr>
          <w:rFonts w:ascii="Times New Roman" w:eastAsiaTheme="minorEastAsia" w:hAnsi="Times New Roman" w:cs="Times New Roman"/>
          <w:sz w:val="24"/>
        </w:rPr>
        <w:t>.</w:t>
      </w:r>
    </w:p>
    <w:p w14:paraId="4A063738" w14:textId="66D4A273" w:rsidR="00E47B39" w:rsidRPr="00A136DF" w:rsidRDefault="00E47B39" w:rsidP="000A1B67">
      <w:pPr>
        <w:rPr>
          <w:rFonts w:ascii="Times New Roman" w:eastAsiaTheme="minorEastAsia" w:hAnsi="Times New Roman" w:cs="Times New Roman"/>
          <w:sz w:val="24"/>
        </w:rPr>
      </w:pPr>
      <w:r w:rsidRPr="00B7174E">
        <w:rPr>
          <w:rFonts w:ascii="Times New Roman" w:eastAsiaTheme="minorEastAsia" w:hAnsi="Times New Roman" w:cs="Times New Roman"/>
          <w:b/>
          <w:sz w:val="24"/>
        </w:rPr>
        <w:t>&gt;.6</w:t>
      </w:r>
      <w:r w:rsidRPr="00A136DF">
        <w:rPr>
          <w:rFonts w:ascii="Times New Roman" w:eastAsiaTheme="minorEastAsia" w:hAnsi="Times New Roman" w:cs="Times New Roman"/>
          <w:sz w:val="24"/>
        </w:rPr>
        <w:t xml:space="preserve">: This is the exponential asymptote that is reached towards the end of the cure cycle. Here it shows how the rate of cure will eventually go to zero for each resin system. However, we see that MTM45-1 maintains a higher cure rate in this region so it would be more </w:t>
      </w:r>
      <w:r w:rsidR="00EC5EAF" w:rsidRPr="00A136DF">
        <w:rPr>
          <w:rFonts w:ascii="Times New Roman" w:eastAsiaTheme="minorEastAsia" w:hAnsi="Times New Roman" w:cs="Times New Roman"/>
          <w:sz w:val="24"/>
        </w:rPr>
        <w:t>feasible</w:t>
      </w:r>
      <w:r w:rsidRPr="00A136DF">
        <w:rPr>
          <w:rFonts w:ascii="Times New Roman" w:eastAsiaTheme="minorEastAsia" w:hAnsi="Times New Roman" w:cs="Times New Roman"/>
          <w:sz w:val="24"/>
        </w:rPr>
        <w:t xml:space="preserve"> to bring this resin system to </w:t>
      </w:r>
      <w:proofErr w:type="gramStart"/>
      <w:r w:rsidRPr="00A136DF">
        <w:rPr>
          <w:rFonts w:ascii="Times New Roman" w:eastAsiaTheme="minorEastAsia" w:hAnsi="Times New Roman" w:cs="Times New Roman"/>
          <w:sz w:val="24"/>
        </w:rPr>
        <w:t>a higher degree of</w:t>
      </w:r>
      <w:proofErr w:type="gramEnd"/>
      <w:r w:rsidRPr="00A136DF">
        <w:rPr>
          <w:rFonts w:ascii="Times New Roman" w:eastAsiaTheme="minorEastAsia" w:hAnsi="Times New Roman" w:cs="Times New Roman"/>
          <w:sz w:val="24"/>
        </w:rPr>
        <w:t xml:space="preserve"> cure than 5320.</w:t>
      </w:r>
    </w:p>
    <w:sectPr w:rsidR="00E47B39" w:rsidRPr="00A1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67"/>
    <w:rsid w:val="000A1B67"/>
    <w:rsid w:val="005067B2"/>
    <w:rsid w:val="007A106C"/>
    <w:rsid w:val="00883CE0"/>
    <w:rsid w:val="009D3780"/>
    <w:rsid w:val="00A136DF"/>
    <w:rsid w:val="00A36002"/>
    <w:rsid w:val="00B7174E"/>
    <w:rsid w:val="00BE6507"/>
    <w:rsid w:val="00D12DF9"/>
    <w:rsid w:val="00DC00A9"/>
    <w:rsid w:val="00E47B39"/>
    <w:rsid w:val="00EC5EAF"/>
    <w:rsid w:val="00FD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FC3C"/>
  <w15:chartTrackingRefBased/>
  <w15:docId w15:val="{1B5092B7-E767-4B70-80C3-79B40291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Havoc</dc:creator>
  <cp:keywords/>
  <dc:description/>
  <cp:lastModifiedBy>Havoc</cp:lastModifiedBy>
  <cp:revision>10</cp:revision>
  <dcterms:created xsi:type="dcterms:W3CDTF">2018-04-20T18:09:00Z</dcterms:created>
  <dcterms:modified xsi:type="dcterms:W3CDTF">2018-04-20T19:01:00Z</dcterms:modified>
</cp:coreProperties>
</file>