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5.png" ContentType="image/png"/>
  <Override PartName="/word/media/rId59.png" ContentType="image/png"/>
  <Override PartName="/word/media/rId63.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3.png" ContentType="image/png"/>
  <Override PartName="/word/media/rId98.png" ContentType="image/png"/>
  <Override PartName="/word/media/rId43.png" ContentType="image/png"/>
  <Override PartName="/word/media/rId47.png" ContentType="image/png"/>
  <Override PartName="/word/media/rId51.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2023-10-12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5334000" cy="53340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53340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3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p>
    <w:p>
      <w:pPr>
        <w:numPr>
          <w:ilvl w:val="1"/>
          <w:numId w:val="1004"/>
        </w:numPr>
        <w:pStyle w:val="Compact"/>
      </w:pPr>
      <w:r>
        <w:t xml:space="preserve">(</w:t>
      </w:r>
      <w:hyperlink w:anchor="ref-bleyer_genetic_2022">
        <w:r>
          <w:rPr>
            <w:rStyle w:val="Hyperlink"/>
          </w:rPr>
          <w:t xml:space="preserve">Bleyer et al., 2022</w:t>
        </w:r>
      </w:hyperlink>
      <w:r>
        <w:t xml:space="preserve">)</w:t>
      </w:r>
    </w:p>
    <w:p>
      <w:pPr>
        <w:numPr>
          <w:ilvl w:val="1"/>
          <w:numId w:val="1004"/>
        </w:numPr>
        <w:pStyle w:val="Compact"/>
      </w:pPr>
      <w:r>
        <w:t xml:space="preserve">(</w:t>
      </w:r>
      <w:hyperlink w:anchor="ref-knoers_genetic_2022">
        <w:r>
          <w:rPr>
            <w:rStyle w:val="Hyperlink"/>
          </w:rPr>
          <w:t xml:space="preserve">Knoers et al., 2022</w:t>
        </w:r>
      </w:hyperlink>
      <w:r>
        <w:t xml:space="preserve">)</w:t>
      </w:r>
    </w:p>
    <w:p>
      <w:pPr>
        <w:numPr>
          <w:ilvl w:val="1"/>
          <w:numId w:val="1004"/>
        </w:numPr>
        <w:pStyle w:val="Compact"/>
      </w:pPr>
      <w:r>
        <w:t xml:space="preserve">(</w:t>
      </w:r>
      <w:hyperlink w:anchor="ref-alaamery_analysis_2022">
        <w:r>
          <w:rPr>
            <w:rStyle w:val="Hyperlink"/>
          </w:rPr>
          <w:t xml:space="preserve">Alaamery et al., 2022</w:t>
        </w:r>
      </w:hyperlink>
      <w:r>
        <w:t xml:space="preserve">)</w:t>
      </w:r>
    </w:p>
    <w:p>
      <w:pPr>
        <w:numPr>
          <w:ilvl w:val="1"/>
          <w:numId w:val="1004"/>
        </w:numPr>
        <w:pStyle w:val="Compact"/>
      </w:pPr>
      <w:r>
        <w:t xml:space="preserve">(</w:t>
      </w:r>
      <w:hyperlink w:anchor="Xb1c03bfb9943a66090c886478c37224f4abe23e">
        <w:r>
          <w:rPr>
            <w:rStyle w:val="Hyperlink"/>
          </w:rPr>
          <w:t xml:space="preserve">KDIGO Conference Participants, 2022</w:t>
        </w:r>
      </w:hyperlink>
      <w:r>
        <w:t xml:space="preserve">)</w:t>
      </w:r>
    </w:p>
    <w:p>
      <w:pPr>
        <w:numPr>
          <w:ilvl w:val="1"/>
          <w:numId w:val="1004"/>
        </w:numPr>
        <w:pStyle w:val="Compact"/>
      </w:pPr>
      <w:r>
        <w:t xml:space="preserve">(</w:t>
      </w:r>
      <w:hyperlink w:anchor="ref-tanudisastro_australia_2021">
        <w:r>
          <w:rPr>
            <w:rStyle w:val="Hyperlink"/>
          </w:rPr>
          <w:t xml:space="preserve">Tanudisastro et al., 2021</w:t>
        </w:r>
      </w:hyperlink>
      <w:r>
        <w:t xml:space="preserve">)</w:t>
      </w:r>
    </w:p>
    <w:p>
      <w:pPr>
        <w:numPr>
          <w:ilvl w:val="1"/>
          <w:numId w:val="1004"/>
        </w:numPr>
        <w:pStyle w:val="Compact"/>
      </w:pPr>
      <w:r>
        <w:t xml:space="preserve">(</w:t>
      </w:r>
      <w:hyperlink w:anchor="ref-devarajan_emerging_2022">
        <w:r>
          <w:rPr>
            <w:rStyle w:val="Hyperlink"/>
          </w:rPr>
          <w:t xml:space="preserve">Devarajan et al., 2022</w:t>
        </w:r>
      </w:hyperlink>
      <w:r>
        <w:t xml:space="preserve">)</w:t>
      </w:r>
    </w:p>
    <w:p>
      <w:pPr>
        <w:numPr>
          <w:ilvl w:val="1"/>
          <w:numId w:val="1004"/>
        </w:numPr>
        <w:pStyle w:val="Compact"/>
      </w:pPr>
      <w:r>
        <w:t xml:space="preserve">(</w:t>
      </w:r>
      <w:hyperlink w:anchor="ref-rasouly_burden_2019">
        <w:r>
          <w:rPr>
            <w:rStyle w:val="Hyperlink"/>
          </w:rPr>
          <w:t xml:space="preserve">Rasouly et al., 2019</w:t>
        </w:r>
      </w:hyperlink>
      <w:r>
        <w:t xml:space="preserve">)</w:t>
      </w:r>
    </w:p>
    <w:p>
      <w:pPr>
        <w:numPr>
          <w:ilvl w:val="1"/>
          <w:numId w:val="1004"/>
        </w:numPr>
        <w:pStyle w:val="Compact"/>
      </w:pPr>
      <w:r>
        <w:t xml:space="preserve">(</w:t>
      </w:r>
      <w:hyperlink w:anchor="ref-elhassan_utility_2022">
        <w:r>
          <w:rPr>
            <w:rStyle w:val="Hyperlink"/>
          </w:rPr>
          <w:t xml:space="preserve">Elhassan et al., 2022</w:t>
        </w:r>
      </w:hyperlink>
      <w:r>
        <w:t xml:space="preserve">)</w:t>
      </w:r>
    </w:p>
    <w:p>
      <w:pPr>
        <w:numPr>
          <w:ilvl w:val="1"/>
          <w:numId w:val="1004"/>
        </w:numPr>
        <w:pStyle w:val="Compact"/>
      </w:pPr>
      <w:r>
        <w:t xml:space="preserve">(</w:t>
      </w:r>
      <w:hyperlink w:anchor="ref-cormican_autosomal_2019">
        <w:r>
          <w:rPr>
            <w:rStyle w:val="Hyperlink"/>
          </w:rPr>
          <w:t xml:space="preserve">Cormican et al., 2019</w:t>
        </w:r>
      </w:hyperlink>
      <w:r>
        <w:t xml:space="preserve">)</w:t>
      </w:r>
    </w:p>
    <w:p>
      <w:pPr>
        <w:numPr>
          <w:ilvl w:val="1"/>
          <w:numId w:val="1004"/>
        </w:numPr>
        <w:pStyle w:val="Compact"/>
      </w:pPr>
      <w:r>
        <w:t xml:space="preserve">(</w:t>
      </w:r>
      <w:hyperlink w:anchor="ref-murray_utility_2020">
        <w:r>
          <w:rPr>
            <w:rStyle w:val="Hyperlink"/>
          </w:rPr>
          <w:t xml:space="preserve">Murray et al., 2020</w:t>
        </w:r>
      </w:hyperlink>
      <w:r>
        <w:t xml:space="preserve">)</w:t>
      </w:r>
    </w:p>
    <w:p>
      <w:pPr>
        <w:numPr>
          <w:ilvl w:val="1"/>
          <w:numId w:val="1004"/>
        </w:numPr>
        <w:pStyle w:val="Compact"/>
      </w:pPr>
      <w:r>
        <w:t xml:space="preserve">(</w:t>
      </w:r>
      <w:hyperlink w:anchor="ref-claus_review_2022">
        <w:r>
          <w:rPr>
            <w:rStyle w:val="Hyperlink"/>
          </w:rPr>
          <w:t xml:space="preserve">Claus et al., 2022</w:t>
        </w:r>
      </w:hyperlink>
      <w:r>
        <w:t xml:space="preserve">)</w:t>
      </w:r>
    </w:p>
    <w:p>
      <w:pPr>
        <w:numPr>
          <w:ilvl w:val="1"/>
          <w:numId w:val="1004"/>
        </w:numPr>
        <w:pStyle w:val="Compact"/>
      </w:pPr>
      <w:r>
        <w:t xml:space="preserve">(</w:t>
      </w:r>
      <w:hyperlink w:anchor="ref-bullich_kidney-disease_2018">
        <w:r>
          <w:rPr>
            <w:rStyle w:val="Hyperlink"/>
          </w:rPr>
          <w:t xml:space="preserve">Bullich et al., 2018</w:t>
        </w:r>
      </w:hyperlink>
      <w:r>
        <w:t xml:space="preserve">)</w:t>
      </w:r>
    </w:p>
    <w:p>
      <w:pPr>
        <w:numPr>
          <w:ilvl w:val="1"/>
          <w:numId w:val="1004"/>
        </w:numPr>
        <w:pStyle w:val="Compact"/>
      </w:pPr>
      <w:r>
        <w:t xml:space="preserve">(</w:t>
      </w:r>
      <w:hyperlink w:anchor="ref-ottlewski_value_2019">
        <w:r>
          <w:rPr>
            <w:rStyle w:val="Hyperlink"/>
          </w:rPr>
          <w:t xml:space="preserve">Ottlewski et al., 2019</w:t>
        </w:r>
      </w:hyperlink>
      <w:r>
        <w:t xml:space="preserve">)</w:t>
      </w:r>
    </w:p>
    <w:p>
      <w:pPr>
        <w:numPr>
          <w:ilvl w:val="1"/>
          <w:numId w:val="1004"/>
        </w:numPr>
        <w:pStyle w:val="Compact"/>
      </w:pPr>
      <w:r>
        <w:t xml:space="preserve">(</w:t>
      </w:r>
      <w:hyperlink w:anchor="ref-al-hamed_genetic_2016">
        <w:r>
          <w:rPr>
            <w:rStyle w:val="Hyperlink"/>
          </w:rPr>
          <w:t xml:space="preserve">Al-Hamed et al., 2016</w:t>
        </w:r>
      </w:hyperlink>
      <w:r>
        <w:t xml:space="preserve">)</w:t>
      </w:r>
    </w:p>
    <w:p>
      <w:pPr>
        <w:numPr>
          <w:ilvl w:val="1"/>
          <w:numId w:val="1004"/>
        </w:numPr>
        <w:pStyle w:val="Compact"/>
      </w:pPr>
      <w:r>
        <w:t xml:space="preserve">(</w:t>
      </w:r>
      <w:hyperlink w:anchor="ref-domingo-gallego_clinical_2022">
        <w:r>
          <w:rPr>
            <w:rStyle w:val="Hyperlink"/>
          </w:rPr>
          <w:t xml:space="preserve">Domingo-Gallego et al., 2022</w:t>
        </w:r>
      </w:hyperlink>
      <w:r>
        <w:t xml:space="preserve">)</w:t>
      </w:r>
    </w:p>
    <w:p>
      <w:pPr>
        <w:numPr>
          <w:ilvl w:val="1"/>
          <w:numId w:val="1004"/>
        </w:numPr>
        <w:pStyle w:val="Compact"/>
      </w:pPr>
      <w:r>
        <w:t xml:space="preserve">(</w:t>
      </w:r>
      <w:hyperlink w:anchor="ref-jordan_targeted_2022">
        <w:r>
          <w:rPr>
            <w:rStyle w:val="Hyperlink"/>
          </w:rPr>
          <w:t xml:space="preserve">Jordan et al., 2022</w:t>
        </w:r>
      </w:hyperlink>
      <w:r>
        <w:t xml:space="preserve">)</w:t>
      </w:r>
    </w:p>
    <w:p>
      <w:pPr>
        <w:numPr>
          <w:ilvl w:val="0"/>
          <w:numId w:val="1003"/>
        </w:numPr>
      </w:pPr>
      <w:r>
        <w:t xml:space="preserve">We used ten common diagnostic panels that can be purchased for genome analysis and extracted the screened genes from them. Those included following panels:</w:t>
      </w:r>
    </w:p>
    <w:p>
      <w:pPr>
        <w:numPr>
          <w:ilvl w:val="1"/>
          <w:numId w:val="1005"/>
        </w:numPr>
        <w:pStyle w:val="Compact"/>
      </w:pPr>
      <w:hyperlink r:id="rId25">
        <w:r>
          <w:rPr>
            <w:rStyle w:val="Hyperlink"/>
          </w:rPr>
          <w:t xml:space="preserve">Centogene nephrology</w:t>
        </w:r>
      </w:hyperlink>
    </w:p>
    <w:p>
      <w:pPr>
        <w:numPr>
          <w:ilvl w:val="1"/>
          <w:numId w:val="1005"/>
        </w:numPr>
        <w:pStyle w:val="Compact"/>
      </w:pPr>
      <w:hyperlink r:id="rId26">
        <w:r>
          <w:rPr>
            <w:rStyle w:val="Hyperlink"/>
          </w:rPr>
          <w:t xml:space="preserve">Cegat kidney diseases</w:t>
        </w:r>
      </w:hyperlink>
    </w:p>
    <w:p>
      <w:pPr>
        <w:numPr>
          <w:ilvl w:val="1"/>
          <w:numId w:val="1005"/>
        </w:numPr>
        <w:pStyle w:val="Compact"/>
      </w:pPr>
      <w:hyperlink r:id="rId27">
        <w:r>
          <w:rPr>
            <w:rStyle w:val="Hyperlink"/>
          </w:rPr>
          <w:t xml:space="preserve">Preventiongenetics comprehensive inherited kidney diseases panel</w:t>
        </w:r>
      </w:hyperlink>
    </w:p>
    <w:p>
      <w:pPr>
        <w:numPr>
          <w:ilvl w:val="1"/>
          <w:numId w:val="1005"/>
        </w:numPr>
        <w:pStyle w:val="Compact"/>
      </w:pPr>
      <w:hyperlink r:id="rId28">
        <w:r>
          <w:rPr>
            <w:rStyle w:val="Hyperlink"/>
          </w:rPr>
          <w:t xml:space="preserve">Invitae progressive renal disease panel</w:t>
        </w:r>
      </w:hyperlink>
    </w:p>
    <w:p>
      <w:pPr>
        <w:numPr>
          <w:ilvl w:val="1"/>
          <w:numId w:val="1005"/>
        </w:numPr>
        <w:pStyle w:val="Compact"/>
      </w:pPr>
      <w:hyperlink r:id="rId29">
        <w:r>
          <w:rPr>
            <w:rStyle w:val="Hyperlink"/>
          </w:rPr>
          <w:t xml:space="preserve">Invitae expanded renal disease panel</w:t>
        </w:r>
      </w:hyperlink>
    </w:p>
    <w:p>
      <w:pPr>
        <w:numPr>
          <w:ilvl w:val="1"/>
          <w:numId w:val="1005"/>
        </w:numPr>
        <w:pStyle w:val="Compact"/>
      </w:pPr>
      <w:hyperlink r:id="rId30">
        <w:r>
          <w:rPr>
            <w:rStyle w:val="Hyperlink"/>
          </w:rPr>
          <w:t xml:space="preserve">Mgz nephrologie</w:t>
        </w:r>
      </w:hyperlink>
    </w:p>
    <w:p>
      <w:pPr>
        <w:numPr>
          <w:ilvl w:val="1"/>
          <w:numId w:val="1005"/>
        </w:numPr>
        <w:pStyle w:val="Compact"/>
      </w:pPr>
      <w:hyperlink r:id="rId31">
        <w:r>
          <w:rPr>
            <w:rStyle w:val="Hyperlink"/>
          </w:rPr>
          <w:t xml:space="preserve">Mvz nierenerkrankungen</w:t>
        </w:r>
      </w:hyperlink>
    </w:p>
    <w:p>
      <w:pPr>
        <w:numPr>
          <w:ilvl w:val="1"/>
          <w:numId w:val="1005"/>
        </w:numPr>
        <w:pStyle w:val="Compact"/>
      </w:pPr>
      <w:hyperlink r:id="rId32">
        <w:r>
          <w:rPr>
            <w:rStyle w:val="Hyperlink"/>
          </w:rPr>
          <w:t xml:space="preserve">Natera renasight comprehensive kidney gene panel</w:t>
        </w:r>
      </w:hyperlink>
    </w:p>
    <w:p>
      <w:pPr>
        <w:numPr>
          <w:ilvl w:val="1"/>
          <w:numId w:val="1005"/>
        </w:numPr>
        <w:pStyle w:val="Compact"/>
      </w:pPr>
      <w:hyperlink r:id="rId33">
        <w:r>
          <w:rPr>
            <w:rStyle w:val="Hyperlink"/>
          </w:rPr>
          <w:t xml:space="preserve">Mayocliniclabs renal genetics</w:t>
        </w:r>
      </w:hyperlink>
    </w:p>
    <w:p>
      <w:pPr>
        <w:numPr>
          <w:ilvl w:val="1"/>
          <w:numId w:val="1005"/>
        </w:numPr>
        <w:pStyle w:val="Compact"/>
      </w:pPr>
      <w:hyperlink r:id="rId34">
        <w:r>
          <w:rPr>
            <w:rStyle w:val="Hyperlink"/>
          </w:rPr>
          <w:t xml:space="preserve">Blueprintgenetics nephrology</w:t>
        </w:r>
      </w:hyperlink>
      <w:r>
        <w:t xml:space="preserve"> </w:t>
      </w:r>
    </w:p>
    <w:p>
      <w:pPr>
        <w:numPr>
          <w:ilvl w:val="0"/>
          <w:numId w:val="1003"/>
        </w:numPr>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7483042"/>
            <wp:effectExtent b="0" l="0" r="0" t="0"/>
            <wp:docPr descr="(#fig:curation_flow_diagram)Curation process flow diagram" title="" id="36" name="Picture"/>
            <a:graphic>
              <a:graphicData uri="http://schemas.openxmlformats.org/drawingml/2006/picture">
                <pic:pic>
                  <pic:nvPicPr>
                    <pic:cNvPr descr="KidneyGenetics_documentation_files/figure-docx/curation_flow_diagram.png" id="37" name="Picture"/>
                    <pic:cNvPicPr>
                      <a:picLocks noChangeArrowheads="1" noChangeAspect="1"/>
                    </pic:cNvPicPr>
                  </pic:nvPicPr>
                  <pic:blipFill>
                    <a:blip r:embed="rId35"/>
                    <a:stretch>
                      <a:fillRect/>
                    </a:stretch>
                  </pic:blipFill>
                  <pic:spPr bwMode="auto">
                    <a:xfrm>
                      <a:off x="0" y="0"/>
                      <a:ext cx="5334000" cy="7483042"/>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38"/>
    <w:bookmarkStart w:id="3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3001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550, (2) 822, (3) 936, (4) 791, and (5) 2133</w:t>
      </w:r>
      <w:r>
        <w:br/>
      </w:r>
      <w:r>
        <w:t xml:space="preserve">Notably,</w:t>
      </w:r>
      <w:r>
        <w:t xml:space="preserve"> </w:t>
      </w:r>
      <w:r>
        <w:rPr>
          <w:bCs/>
          <w:b/>
        </w:rPr>
        <w:t xml:space="preserve">437</w:t>
      </w:r>
      <w:r>
        <w:t xml:space="preserve"> </w:t>
      </w:r>
      <w:r>
        <w:t xml:space="preserve">genes (14.6%) of the</w:t>
      </w:r>
      <w:r>
        <w:t xml:space="preserve"> </w:t>
      </w:r>
      <w:r>
        <w:rPr>
          <w:bCs/>
          <w:b/>
        </w:rPr>
        <w:t xml:space="preserve">total 3001</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423</w:t>
      </w:r>
      <w:r>
        <w:t xml:space="preserve"> </w:t>
      </w:r>
      <w:r>
        <w:t xml:space="preserve">(96.8%) are present in at least one, and</w:t>
      </w:r>
      <w:r>
        <w:t xml:space="preserve"> </w:t>
      </w:r>
      <w:r>
        <w:rPr>
          <w:bCs/>
          <w:b/>
        </w:rPr>
        <w:t xml:space="preserve">56</w:t>
      </w:r>
      <w:r>
        <w:t xml:space="preserve"> </w:t>
      </w:r>
      <w:r>
        <w:t xml:space="preserve">(12.8%)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39"/>
    <w:bookmarkStart w:id="4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40"/>
    <w:bookmarkStart w:id="4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41"/>
    <w:bookmarkEnd w:id="42"/>
    <w:bookmarkStart w:id="67" w:name="analyses-tables"/>
    <w:p>
      <w:pPr>
        <w:pStyle w:val="Heading1"/>
      </w:pPr>
      <w:r>
        <w:rPr>
          <w:rStyle w:val="SectionNumber"/>
        </w:rPr>
        <w:t xml:space="preserve">1</w:t>
      </w:r>
      <w:r>
        <w:tab/>
      </w:r>
      <w:r>
        <w:t xml:space="preserve">Analyses result tables</w:t>
      </w:r>
    </w:p>
    <w:bookmarkStart w:id="4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779180"/>
            <wp:effectExtent b="0" l="0" r="0" t="0"/>
            <wp:docPr descr="" title="" id="44" name="Picture"/>
            <a:graphic>
              <a:graphicData uri="http://schemas.openxmlformats.org/drawingml/2006/picture">
                <pic:pic>
                  <pic:nvPicPr>
                    <pic:cNvPr descr="KidneyGenetics_documentation_files/figure-docx/unnamed-chunk-7-2.png" id="45" name="Picture"/>
                    <pic:cNvPicPr>
                      <a:picLocks noChangeArrowheads="1" noChangeAspect="1"/>
                    </pic:cNvPicPr>
                  </pic:nvPicPr>
                  <pic:blipFill>
                    <a:blip r:embed="rId43"/>
                    <a:stretch>
                      <a:fillRect/>
                    </a:stretch>
                  </pic:blipFill>
                  <pic:spPr bwMode="auto">
                    <a:xfrm>
                      <a:off x="0" y="0"/>
                      <a:ext cx="5334000" cy="2779180"/>
                    </a:xfrm>
                    <a:prstGeom prst="rect">
                      <a:avLst/>
                    </a:prstGeom>
                    <a:noFill/>
                    <a:ln w="9525">
                      <a:noFill/>
                      <a:headEnd/>
                      <a:tailEnd/>
                    </a:ln>
                  </pic:spPr>
                </pic:pic>
              </a:graphicData>
            </a:graphic>
          </wp:inline>
        </w:drawing>
      </w:r>
    </w:p>
    <w:bookmarkEnd w:id="46"/>
    <w:bookmarkStart w:id="5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4572000" cy="3657600"/>
            <wp:effectExtent b="0" l="0" r="0" t="0"/>
            <wp:docPr descr="" title="" id="48" name="Picture"/>
            <a:graphic>
              <a:graphicData uri="http://schemas.openxmlformats.org/drawingml/2006/picture">
                <pic:pic>
                  <pic:nvPicPr>
                    <pic:cNvPr descr="KidneyGenetics_documentation_files/figure-docx/unnamed-chunk-8-1.png" id="49" name="Picture"/>
                    <pic:cNvPicPr>
                      <a:picLocks noChangeArrowheads="1" noChangeAspect="1"/>
                    </pic:cNvPicPr>
                  </pic:nvPicPr>
                  <pic:blipFill>
                    <a:blip r:embed="rId47"/>
                    <a:stretch>
                      <a:fillRect/>
                    </a:stretch>
                  </pic:blipFill>
                  <pic:spPr bwMode="auto">
                    <a:xfrm>
                      <a:off x="0" y="0"/>
                      <a:ext cx="4572000" cy="3657600"/>
                    </a:xfrm>
                    <a:prstGeom prst="rect">
                      <a:avLst/>
                    </a:prstGeom>
                    <a:noFill/>
                    <a:ln w="9525">
                      <a:noFill/>
                      <a:headEnd/>
                      <a:tailEnd/>
                    </a:ln>
                  </pic:spPr>
                </pic:pic>
              </a:graphicData>
            </a:graphic>
          </wp:inline>
        </w:drawing>
      </w:r>
    </w:p>
    <w:bookmarkEnd w:id="50"/>
    <w:bookmarkStart w:id="5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4572000" cy="3657600"/>
            <wp:effectExtent b="0" l="0" r="0" t="0"/>
            <wp:docPr descr="" title="" id="52" name="Picture"/>
            <a:graphic>
              <a:graphicData uri="http://schemas.openxmlformats.org/drawingml/2006/picture">
                <pic:pic>
                  <pic:nvPicPr>
                    <pic:cNvPr descr="KidneyGenetics_documentation_files/figure-docx/unnamed-chunk-9-1.png" id="53" name="Picture"/>
                    <pic:cNvPicPr>
                      <a:picLocks noChangeArrowheads="1" noChangeAspect="1"/>
                    </pic:cNvPicPr>
                  </pic:nvPicPr>
                  <pic:blipFill>
                    <a:blip r:embed="rId51"/>
                    <a:stretch>
                      <a:fillRect/>
                    </a:stretch>
                  </pic:blipFill>
                  <pic:spPr bwMode="auto">
                    <a:xfrm>
                      <a:off x="0" y="0"/>
                      <a:ext cx="4572000" cy="3657600"/>
                    </a:xfrm>
                    <a:prstGeom prst="rect">
                      <a:avLst/>
                    </a:prstGeom>
                    <a:noFill/>
                    <a:ln w="9525">
                      <a:noFill/>
                      <a:headEnd/>
                      <a:tailEnd/>
                    </a:ln>
                  </pic:spPr>
                </pic:pic>
              </a:graphicData>
            </a:graphic>
          </wp:inline>
        </w:drawing>
      </w:r>
    </w:p>
    <w:bookmarkEnd w:id="54"/>
    <w:bookmarkStart w:id="5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4572000" cy="3657600"/>
            <wp:effectExtent b="0" l="0" r="0" t="0"/>
            <wp:docPr descr="" title="" id="56" name="Picture"/>
            <a:graphic>
              <a:graphicData uri="http://schemas.openxmlformats.org/drawingml/2006/picture">
                <pic:pic>
                  <pic:nvPicPr>
                    <pic:cNvPr descr="KidneyGenetics_documentation_files/figure-docx/unnamed-chunk-10-1.png" id="57" name="Picture"/>
                    <pic:cNvPicPr>
                      <a:picLocks noChangeArrowheads="1" noChangeAspect="1"/>
                    </pic:cNvPicPr>
                  </pic:nvPicPr>
                  <pic:blipFill>
                    <a:blip r:embed="rId55"/>
                    <a:stretch>
                      <a:fillRect/>
                    </a:stretch>
                  </pic:blipFill>
                  <pic:spPr bwMode="auto">
                    <a:xfrm>
                      <a:off x="0" y="0"/>
                      <a:ext cx="4572000" cy="3657600"/>
                    </a:xfrm>
                    <a:prstGeom prst="rect">
                      <a:avLst/>
                    </a:prstGeom>
                    <a:noFill/>
                    <a:ln w="9525">
                      <a:noFill/>
                      <a:headEnd/>
                      <a:tailEnd/>
                    </a:ln>
                  </pic:spPr>
                </pic:pic>
              </a:graphicData>
            </a:graphic>
          </wp:inline>
        </w:drawing>
      </w:r>
    </w:p>
    <w:bookmarkEnd w:id="58"/>
    <w:bookmarkStart w:id="6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4572000" cy="3657600"/>
            <wp:effectExtent b="0" l="0" r="0" t="0"/>
            <wp:docPr descr="" title="" id="60" name="Picture"/>
            <a:graphic>
              <a:graphicData uri="http://schemas.openxmlformats.org/drawingml/2006/picture">
                <pic:pic>
                  <pic:nvPicPr>
                    <pic:cNvPr descr="KidneyGenetics_documentation_files/figure-docx/unnamed-chunk-11-1.png" id="61" name="Picture"/>
                    <pic:cNvPicPr>
                      <a:picLocks noChangeArrowheads="1" noChangeAspect="1"/>
                    </pic:cNvPicPr>
                  </pic:nvPicPr>
                  <pic:blipFill>
                    <a:blip r:embed="rId59"/>
                    <a:stretch>
                      <a:fillRect/>
                    </a:stretch>
                  </pic:blipFill>
                  <pic:spPr bwMode="auto">
                    <a:xfrm>
                      <a:off x="0" y="0"/>
                      <a:ext cx="4572000" cy="3657600"/>
                    </a:xfrm>
                    <a:prstGeom prst="rect">
                      <a:avLst/>
                    </a:prstGeom>
                    <a:noFill/>
                    <a:ln w="9525">
                      <a:noFill/>
                      <a:headEnd/>
                      <a:tailEnd/>
                    </a:ln>
                  </pic:spPr>
                </pic:pic>
              </a:graphicData>
            </a:graphic>
          </wp:inline>
        </w:drawing>
      </w:r>
    </w:p>
    <w:bookmarkEnd w:id="62"/>
    <w:bookmarkStart w:id="6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4572000" cy="3657600"/>
            <wp:effectExtent b="0" l="0" r="0" t="0"/>
            <wp:docPr descr="" title="" id="64" name="Picture"/>
            <a:graphic>
              <a:graphicData uri="http://schemas.openxmlformats.org/drawingml/2006/picture">
                <pic:pic>
                  <pic:nvPicPr>
                    <pic:cNvPr descr="KidneyGenetics_documentation_files/figure-docx/unnamed-chunk-12-1.png" id="65" name="Picture"/>
                    <pic:cNvPicPr>
                      <a:picLocks noChangeArrowheads="1" noChangeAspect="1"/>
                    </pic:cNvPicPr>
                  </pic:nvPicPr>
                  <pic:blipFill>
                    <a:blip r:embed="rId63"/>
                    <a:stretch>
                      <a:fillRect/>
                    </a:stretch>
                  </pic:blipFill>
                  <pic:spPr bwMode="auto">
                    <a:xfrm>
                      <a:off x="0" y="0"/>
                      <a:ext cx="4572000" cy="3657600"/>
                    </a:xfrm>
                    <a:prstGeom prst="rect">
                      <a:avLst/>
                    </a:prstGeom>
                    <a:noFill/>
                    <a:ln w="9525">
                      <a:noFill/>
                      <a:headEnd/>
                      <a:tailEnd/>
                    </a:ln>
                  </pic:spPr>
                </pic:pic>
              </a:graphicData>
            </a:graphic>
          </wp:inline>
        </w:drawing>
      </w:r>
    </w:p>
    <w:bookmarkEnd w:id="66"/>
    <w:bookmarkEnd w:id="67"/>
    <w:bookmarkStart w:id="92" w:name="analyses-plots"/>
    <w:p>
      <w:pPr>
        <w:pStyle w:val="Heading1"/>
      </w:pPr>
      <w:r>
        <w:rPr>
          <w:rStyle w:val="SectionNumber"/>
        </w:rPr>
        <w:t xml:space="preserve">2</w:t>
      </w:r>
      <w:r>
        <w:tab/>
      </w:r>
      <w:r>
        <w:t xml:space="preserve">Analyses plots</w:t>
      </w:r>
    </w:p>
    <w:bookmarkStart w:id="7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6"/>
        </w:numPr>
        <w:pStyle w:val="Compact"/>
      </w:pPr>
      <w:r>
        <w:t xml:space="preserve">Each column corresponds to a set, and the bar graphs at the top show the size of the set.</w:t>
      </w:r>
      <w:r>
        <w:br/>
      </w:r>
    </w:p>
    <w:p>
      <w:pPr>
        <w:numPr>
          <w:ilvl w:val="0"/>
          <w:numId w:val="1006"/>
        </w:numPr>
        <w:pStyle w:val="Compact"/>
      </w:pPr>
      <w:r>
        <w:t xml:space="preserve">Each row corresponds to a possible intersection: the dark filled circles show which set is part of an intersection.</w:t>
      </w:r>
      <w:r>
        <w:br/>
      </w:r>
    </w:p>
    <w:p>
      <w:pPr>
        <w:numPr>
          <w:ilvl w:val="0"/>
          <w:numId w:val="1006"/>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4620126" cy="3696101"/>
            <wp:effectExtent b="0" l="0" r="0" t="0"/>
            <wp:docPr descr="" title="" id="69" name="Picture"/>
            <a:graphic>
              <a:graphicData uri="http://schemas.openxmlformats.org/drawingml/2006/picture">
                <pic:pic>
                  <pic:nvPicPr>
                    <pic:cNvPr descr="KidneyGenetics_documentation_files/figure-docx/unnamed-chunk-1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7"/>
        </w:numPr>
        <w:pStyle w:val="Compact"/>
      </w:pPr>
      <w:r>
        <w:t xml:space="preserve">The y axis shows the number of Genes in the different panels, which is also visualized by the height of the bars.</w:t>
      </w:r>
      <w:r>
        <w:br/>
      </w:r>
    </w:p>
    <w:p>
      <w:pPr>
        <w:numPr>
          <w:ilvl w:val="0"/>
          <w:numId w:val="1007"/>
        </w:numPr>
        <w:pStyle w:val="Compact"/>
      </w:pPr>
      <w:r>
        <w:t xml:space="preserve">The x axis displays the number of panels (source_count), i.e. in how many different panels a single Gene occurred.</w:t>
      </w:r>
      <w:r>
        <w:br/>
      </w:r>
    </w:p>
    <w:p>
      <w:pPr>
        <w:numPr>
          <w:ilvl w:val="0"/>
          <w:numId w:val="1007"/>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3810000" cy="2857500"/>
            <wp:effectExtent b="0" l="0" r="0" t="0"/>
            <wp:docPr descr="" title="" id="73" name="Picture"/>
            <a:graphic>
              <a:graphicData uri="http://schemas.openxmlformats.org/drawingml/2006/picture">
                <pic:pic>
                  <pic:nvPicPr>
                    <pic:cNvPr descr="KidneyGenetics_documentation_files/figure-docx/unnamed-chunk-14-1.png" id="74" name="Picture"/>
                    <pic:cNvPicPr>
                      <a:picLocks noChangeArrowheads="1" noChangeAspect="1"/>
                    </pic:cNvPicPr>
                  </pic:nvPicPr>
                  <pic:blipFill>
                    <a:blip r:embed="rId72"/>
                    <a:stretch>
                      <a:fillRect/>
                    </a:stretch>
                  </pic:blipFill>
                  <pic:spPr bwMode="auto">
                    <a:xfrm>
                      <a:off x="0" y="0"/>
                      <a:ext cx="3810000" cy="2857500"/>
                    </a:xfrm>
                    <a:prstGeom prst="rect">
                      <a:avLst/>
                    </a:prstGeom>
                    <a:noFill/>
                    <a:ln w="9525">
                      <a:noFill/>
                      <a:headEnd/>
                      <a:tailEnd/>
                    </a:ln>
                  </pic:spPr>
                </pic:pic>
              </a:graphicData>
            </a:graphic>
          </wp:inline>
        </w:drawing>
      </w:r>
    </w:p>
    <w:bookmarkEnd w:id="75"/>
    <w:bookmarkStart w:id="7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8"/>
        </w:numPr>
        <w:pStyle w:val="Compact"/>
      </w:pPr>
      <w:r>
        <w:t xml:space="preserve">The y axis shows the number of Genes in different publications, which is also visualized by the height of the bars.</w:t>
      </w:r>
      <w:r>
        <w:br/>
      </w:r>
    </w:p>
    <w:p>
      <w:pPr>
        <w:numPr>
          <w:ilvl w:val="0"/>
          <w:numId w:val="1008"/>
        </w:numPr>
        <w:pStyle w:val="Compact"/>
      </w:pPr>
      <w:r>
        <w:t xml:space="preserve">The x axis displays the number of publications (source_count), i.e. in how many different publications a single Gene occurred.</w:t>
      </w:r>
      <w:r>
        <w:br/>
      </w:r>
    </w:p>
    <w:p>
      <w:pPr>
        <w:numPr>
          <w:ilvl w:val="0"/>
          <w:numId w:val="1008"/>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3810000" cy="2857500"/>
            <wp:effectExtent b="0" l="0" r="0" t="0"/>
            <wp:docPr descr="" title="" id="77" name="Picture"/>
            <a:graphic>
              <a:graphicData uri="http://schemas.openxmlformats.org/drawingml/2006/picture">
                <pic:pic>
                  <pic:nvPicPr>
                    <pic:cNvPr descr="KidneyGenetics_documentation_files/figure-docx/unnamed-chunk-15-1.png" id="78" name="Picture"/>
                    <pic:cNvPicPr>
                      <a:picLocks noChangeArrowheads="1" noChangeAspect="1"/>
                    </pic:cNvPicPr>
                  </pic:nvPicPr>
                  <pic:blipFill>
                    <a:blip r:embed="rId76"/>
                    <a:stretch>
                      <a:fillRect/>
                    </a:stretch>
                  </pic:blipFill>
                  <pic:spPr bwMode="auto">
                    <a:xfrm>
                      <a:off x="0" y="0"/>
                      <a:ext cx="3810000" cy="2857500"/>
                    </a:xfrm>
                    <a:prstGeom prst="rect">
                      <a:avLst/>
                    </a:prstGeom>
                    <a:noFill/>
                    <a:ln w="9525">
                      <a:noFill/>
                      <a:headEnd/>
                      <a:tailEnd/>
                    </a:ln>
                  </pic:spPr>
                </pic:pic>
              </a:graphicData>
            </a:graphic>
          </wp:inline>
        </w:drawing>
      </w:r>
    </w:p>
    <w:bookmarkEnd w:id="79"/>
    <w:bookmarkStart w:id="8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9"/>
        </w:numPr>
        <w:pStyle w:val="Compact"/>
      </w:pPr>
      <w:r>
        <w:t xml:space="preserve">The y axis shows the number of Genes in the different diagnostic panels, which is also visualized by the height of the bars.</w:t>
      </w:r>
      <w:r>
        <w:br/>
      </w:r>
    </w:p>
    <w:p>
      <w:pPr>
        <w:numPr>
          <w:ilvl w:val="0"/>
          <w:numId w:val="1009"/>
        </w:numPr>
        <w:pStyle w:val="Compact"/>
      </w:pPr>
      <w:r>
        <w:t xml:space="preserve">The x axis displays the number of panels (source_count), i.e. in how many different panels a single Gene occurred.</w:t>
      </w:r>
      <w:r>
        <w:br/>
      </w:r>
    </w:p>
    <w:p>
      <w:pPr>
        <w:numPr>
          <w:ilvl w:val="0"/>
          <w:numId w:val="1009"/>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3810000" cy="2857500"/>
            <wp:effectExtent b="0" l="0" r="0" t="0"/>
            <wp:docPr descr="" title="" id="81" name="Picture"/>
            <a:graphic>
              <a:graphicData uri="http://schemas.openxmlformats.org/drawingml/2006/picture">
                <pic:pic>
                  <pic:nvPicPr>
                    <pic:cNvPr descr="KidneyGenetics_documentation_files/figure-docx/unnamed-chunk-16-1.png" id="82" name="Picture"/>
                    <pic:cNvPicPr>
                      <a:picLocks noChangeArrowheads="1" noChangeAspect="1"/>
                    </pic:cNvPicPr>
                  </pic:nvPicPr>
                  <pic:blipFill>
                    <a:blip r:embed="rId80"/>
                    <a:stretch>
                      <a:fillRect/>
                    </a:stretch>
                  </pic:blipFill>
                  <pic:spPr bwMode="auto">
                    <a:xfrm>
                      <a:off x="0" y="0"/>
                      <a:ext cx="3810000" cy="2857500"/>
                    </a:xfrm>
                    <a:prstGeom prst="rect">
                      <a:avLst/>
                    </a:prstGeom>
                    <a:noFill/>
                    <a:ln w="9525">
                      <a:noFill/>
                      <a:headEnd/>
                      <a:tailEnd/>
                    </a:ln>
                  </pic:spPr>
                </pic:pic>
              </a:graphicData>
            </a:graphic>
          </wp:inline>
        </w:drawing>
      </w:r>
    </w:p>
    <w:bookmarkEnd w:id="83"/>
    <w:bookmarkStart w:id="8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10"/>
        </w:numPr>
        <w:pStyle w:val="Compact"/>
      </w:pPr>
      <w:r>
        <w:t xml:space="preserve">The y axis shows the number of Genes in the different rare disease databases, which is also visualized by the height of the bars.</w:t>
      </w:r>
      <w:r>
        <w:br/>
      </w:r>
    </w:p>
    <w:p>
      <w:pPr>
        <w:numPr>
          <w:ilvl w:val="0"/>
          <w:numId w:val="1010"/>
        </w:numPr>
        <w:pStyle w:val="Compact"/>
      </w:pPr>
      <w:r>
        <w:t xml:space="preserve">The x axis displays the number of databases (source_count), i.e. in how many different databases a single Gene occurred.</w:t>
      </w:r>
      <w:r>
        <w:br/>
      </w:r>
    </w:p>
    <w:p>
      <w:pPr>
        <w:numPr>
          <w:ilvl w:val="0"/>
          <w:numId w:val="1010"/>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3810000" cy="2857500"/>
            <wp:effectExtent b="0" l="0" r="0" t="0"/>
            <wp:docPr descr="" title="" id="85" name="Picture"/>
            <a:graphic>
              <a:graphicData uri="http://schemas.openxmlformats.org/drawingml/2006/picture">
                <pic:pic>
                  <pic:nvPicPr>
                    <pic:cNvPr descr="KidneyGenetics_documentation_files/figure-docx/unnamed-chunk-17-1.png" id="86" name="Picture"/>
                    <pic:cNvPicPr>
                      <a:picLocks noChangeArrowheads="1" noChangeAspect="1"/>
                    </pic:cNvPicPr>
                  </pic:nvPicPr>
                  <pic:blipFill>
                    <a:blip r:embed="rId84"/>
                    <a:stretch>
                      <a:fillRect/>
                    </a:stretch>
                  </pic:blipFill>
                  <pic:spPr bwMode="auto">
                    <a:xfrm>
                      <a:off x="0" y="0"/>
                      <a:ext cx="3810000" cy="2857500"/>
                    </a:xfrm>
                    <a:prstGeom prst="rect">
                      <a:avLst/>
                    </a:prstGeom>
                    <a:noFill/>
                    <a:ln w="9525">
                      <a:noFill/>
                      <a:headEnd/>
                      <a:tailEnd/>
                    </a:ln>
                  </pic:spPr>
                </pic:pic>
              </a:graphicData>
            </a:graphic>
          </wp:inline>
        </w:drawing>
      </w:r>
    </w:p>
    <w:bookmarkEnd w:id="87"/>
    <w:bookmarkStart w:id="9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1"/>
        </w:numPr>
        <w:pStyle w:val="Compact"/>
      </w:pPr>
      <w:r>
        <w:t xml:space="preserve">The y axis shows the number of Genes in the different publications, which is also visualized by the height of the bars.</w:t>
      </w:r>
      <w:r>
        <w:br/>
      </w:r>
    </w:p>
    <w:p>
      <w:pPr>
        <w:numPr>
          <w:ilvl w:val="0"/>
          <w:numId w:val="1011"/>
        </w:numPr>
        <w:pStyle w:val="Compact"/>
      </w:pPr>
      <w:r>
        <w:t xml:space="preserve">The x axis displays the number of publications (source_count), i.e. in how many different publications a single Gene occurred.</w:t>
      </w:r>
      <w:r>
        <w:br/>
      </w:r>
    </w:p>
    <w:p>
      <w:pPr>
        <w:numPr>
          <w:ilvl w:val="0"/>
          <w:numId w:val="1011"/>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3810000" cy="2857500"/>
            <wp:effectExtent b="0" l="0" r="0" t="0"/>
            <wp:docPr descr="" title="" id="89" name="Picture"/>
            <a:graphic>
              <a:graphicData uri="http://schemas.openxmlformats.org/drawingml/2006/picture">
                <pic:pic>
                  <pic:nvPicPr>
                    <pic:cNvPr descr="KidneyGenetics_documentation_files/figure-docx/unnamed-chunk-18-1.png" id="90" name="Picture"/>
                    <pic:cNvPicPr>
                      <a:picLocks noChangeArrowheads="1" noChangeAspect="1"/>
                    </pic:cNvPicPr>
                  </pic:nvPicPr>
                  <pic:blipFill>
                    <a:blip r:embed="rId88"/>
                    <a:stretch>
                      <a:fillRect/>
                    </a:stretch>
                  </pic:blipFill>
                  <pic:spPr bwMode="auto">
                    <a:xfrm>
                      <a:off x="0" y="0"/>
                      <a:ext cx="3810000" cy="2857500"/>
                    </a:xfrm>
                    <a:prstGeom prst="rect">
                      <a:avLst/>
                    </a:prstGeom>
                    <a:noFill/>
                    <a:ln w="9525">
                      <a:noFill/>
                      <a:headEnd/>
                      <a:tailEnd/>
                    </a:ln>
                  </pic:spPr>
                </pic:pic>
              </a:graphicData>
            </a:graphic>
          </wp:inline>
        </w:drawing>
      </w:r>
    </w:p>
    <w:bookmarkEnd w:id="91"/>
    <w:bookmarkEnd w:id="92"/>
    <w:bookmarkStart w:id="97" w:name="manual-curation"/>
    <w:p>
      <w:pPr>
        <w:pStyle w:val="Heading1"/>
      </w:pPr>
      <w:r>
        <w:rPr>
          <w:rStyle w:val="SectionNumber"/>
        </w:rPr>
        <w:t xml:space="preserve">3</w:t>
      </w:r>
      <w:r>
        <w:tab/>
      </w:r>
      <w:r>
        <w:t xml:space="preserve">Curation of high evidence genes</w:t>
      </w:r>
    </w:p>
    <w:bookmarkStart w:id="96" w:name="table-of-high-evidence-genes"/>
    <w:p>
      <w:pPr>
        <w:pStyle w:val="Heading2"/>
      </w:pPr>
      <w:r>
        <w:rPr>
          <w:rStyle w:val="SectionNumber"/>
        </w:rPr>
        <w:t xml:space="preserve">3.1</w:t>
      </w:r>
      <w:r>
        <w:tab/>
      </w:r>
      <w:r>
        <w:t xml:space="preserve">Table of high evidence genes</w:t>
      </w:r>
    </w:p>
    <w:p>
      <w:pPr>
        <w:pStyle w:val="FirstParagraph"/>
      </w:pPr>
      <w:r>
        <w:t xml:space="preserve">This table shows the annotated high evidence genes.</w:t>
      </w:r>
    </w:p>
    <w:p>
      <w:pPr>
        <w:pStyle w:val="BodyText"/>
      </w:pPr>
      <w:r>
        <w:drawing>
          <wp:inline>
            <wp:extent cx="5334000" cy="607056"/>
            <wp:effectExtent b="0" l="0" r="0" t="0"/>
            <wp:docPr descr="" title="" id="94" name="Picture"/>
            <a:graphic>
              <a:graphicData uri="http://schemas.openxmlformats.org/drawingml/2006/picture">
                <pic:pic>
                  <pic:nvPicPr>
                    <pic:cNvPr descr="KidneyGenetics_documentation_files/figure-docx/unnamed-chunk-19-1.png" id="95" name="Picture"/>
                    <pic:cNvPicPr>
                      <a:picLocks noChangeArrowheads="1" noChangeAspect="1"/>
                    </pic:cNvPicPr>
                  </pic:nvPicPr>
                  <pic:blipFill>
                    <a:blip r:embed="rId93"/>
                    <a:stretch>
                      <a:fillRect/>
                    </a:stretch>
                  </pic:blipFill>
                  <pic:spPr bwMode="auto">
                    <a:xfrm>
                      <a:off x="0" y="0"/>
                      <a:ext cx="5334000" cy="607056"/>
                    </a:xfrm>
                    <a:prstGeom prst="rect">
                      <a:avLst/>
                    </a:prstGeom>
                    <a:noFill/>
                    <a:ln w="9525">
                      <a:noFill/>
                      <a:headEnd/>
                      <a:tailEnd/>
                    </a:ln>
                  </pic:spPr>
                </pic:pic>
              </a:graphicData>
            </a:graphic>
          </wp:inline>
        </w:drawing>
      </w:r>
    </w:p>
    <w:bookmarkEnd w:id="96"/>
    <w:bookmarkEnd w:id="97"/>
    <w:bookmarkStart w:id="143" w:name="additional-analyses"/>
    <w:p>
      <w:pPr>
        <w:pStyle w:val="Heading1"/>
      </w:pPr>
      <w:r>
        <w:rPr>
          <w:rStyle w:val="SectionNumber"/>
        </w:rPr>
        <w:t xml:space="preserve">4</w:t>
      </w:r>
      <w:r>
        <w:tab/>
      </w:r>
      <w:r>
        <w:t xml:space="preserve">Additional analyses</w:t>
      </w:r>
    </w:p>
    <w:bookmarkStart w:id="142" w:name="diagnostic-panels-content-overlap"/>
    <w:p>
      <w:pPr>
        <w:pStyle w:val="Heading2"/>
      </w:pPr>
      <w:r>
        <w:rPr>
          <w:rStyle w:val="SectionNumber"/>
        </w:rPr>
        <w:t xml:space="preserve">4.1</w:t>
      </w:r>
      <w:r>
        <w:tab/>
      </w:r>
      <w:r>
        <w:t xml:space="preserve">Diagnostic panels content overlap</w:t>
      </w:r>
    </w:p>
    <w:p>
      <w:pPr>
        <w:pStyle w:val="BlockText"/>
      </w:pPr>
      <w:r>
        <w:t xml:space="preserve">Below you can see a bar plot of the diagnostic panels content overlap.</w:t>
      </w:r>
    </w:p>
    <w:p>
      <w:pPr>
        <w:pStyle w:val="FirstParagraph"/>
      </w:pPr>
      <w:r>
        <w:t xml:space="preserve">We used ten common diagnostic panels that can be ordered for kidney disease analysis and extracted the screened genes from them.</w:t>
      </w:r>
      <w:r>
        <w:t xml:space="preserve"> </w:t>
      </w:r>
      <w:r>
        <w:t xml:space="preserve">Here we show the overlap of the genes in the different panels.</w:t>
      </w:r>
    </w:p>
    <w:p>
      <w:pPr>
        <w:pStyle w:val="BodyText"/>
      </w:pPr>
      <w:r>
        <w:drawing>
          <wp:inline>
            <wp:extent cx="3810000" cy="2857500"/>
            <wp:effectExtent b="0" l="0" r="0" t="0"/>
            <wp:docPr descr="" title="" id="99" name="Picture"/>
            <a:graphic>
              <a:graphicData uri="http://schemas.openxmlformats.org/drawingml/2006/picture">
                <pic:pic>
                  <pic:nvPicPr>
                    <pic:cNvPr descr="KidneyGenetics_documentation_files/figure-docx/unnamed-chunk-20-1.png" id="100" name="Picture"/>
                    <pic:cNvPicPr>
                      <a:picLocks noChangeArrowheads="1" noChangeAspect="1"/>
                    </pic:cNvPicPr>
                  </pic:nvPicPr>
                  <pic:blipFill>
                    <a:blip r:embed="rId98"/>
                    <a:stretch>
                      <a:fillRect/>
                    </a:stretch>
                  </pic:blipFill>
                  <pic:spPr bwMode="auto">
                    <a:xfrm>
                      <a:off x="0" y="0"/>
                      <a:ext cx="3810000" cy="2857500"/>
                    </a:xfrm>
                    <a:prstGeom prst="rect">
                      <a:avLst/>
                    </a:prstGeom>
                    <a:noFill/>
                    <a:ln w="9525">
                      <a:noFill/>
                      <a:headEnd/>
                      <a:tailEnd/>
                    </a:ln>
                  </pic:spPr>
                </pic:pic>
              </a:graphicData>
            </a:graphic>
          </wp:inline>
        </w:drawing>
      </w:r>
    </w:p>
    <w:bookmarkStart w:id="141" w:name="refs"/>
    <w:bookmarkStart w:id="102" w:name="ref-alaamery_analysis_2022"/>
    <w:p>
      <w:pPr>
        <w:pStyle w:val="Bibliography"/>
      </w:pPr>
      <w:r>
        <w:t xml:space="preserve">Alaamery, M., Alghamdi, J., Massadeh, S., Alsawaji, M., Aljawini, N., Albesher, N., Alghamdi, B., Almutairi, M., Hejaili, F., Alfadhel, M., Baz, B., Almuzzaini, B., Almutairi, A. F., Abdullah, M., Quintana, F. J., &amp; Sayyari, A. (2022). Analysis of chronic kidney disease patients by targeted next-generation sequencing identifies novel variants in kidney-related genes.</w:t>
      </w:r>
      <w:r>
        <w:t xml:space="preserve"> </w:t>
      </w:r>
      <w:r>
        <w:rPr>
          <w:iCs/>
          <w:i/>
        </w:rPr>
        <w:t xml:space="preserve">Frontiers in Genetics</w:t>
      </w:r>
      <w:r>
        <w:t xml:space="preserve">,</w:t>
      </w:r>
      <w:r>
        <w:t xml:space="preserve"> </w:t>
      </w:r>
      <w:r>
        <w:rPr>
          <w:iCs/>
          <w:i/>
        </w:rPr>
        <w:t xml:space="preserve">13</w:t>
      </w:r>
      <w:r>
        <w:t xml:space="preserve">, 886038.</w:t>
      </w:r>
      <w:r>
        <w:t xml:space="preserve"> </w:t>
      </w:r>
      <w:hyperlink r:id="rId101">
        <w:r>
          <w:rPr>
            <w:rStyle w:val="Hyperlink"/>
          </w:rPr>
          <w:t xml:space="preserve">https://doi.org/10.3389/fgene.2022.886038</w:t>
        </w:r>
      </w:hyperlink>
    </w:p>
    <w:bookmarkEnd w:id="102"/>
    <w:bookmarkStart w:id="104" w:name="ref-al-hamed_genetic_2016"/>
    <w:p>
      <w:pPr>
        <w:pStyle w:val="Bibliography"/>
      </w:pPr>
      <w:r>
        <w:t xml:space="preserve">Al-Hamed, M. H., Kurdi, W., Alsahan, N., Alabdullah, Z., Abudraz, R., Tulbah, M., Alnemer, M., Khan, R., Al-Jurayb, H., Alahmed, A., Tahir, A. I., Khalil, D., Edwards, N., Al Abdulaziz, B., Binhumaid, F. S., Majid, S., Faquih, T., El-Kalioby, M., Abouelhoda, M., … Albaqumi, M. (2016). Genetic spectrum of</w:t>
      </w:r>
      <w:r>
        <w:t xml:space="preserve"> </w:t>
      </w:r>
      <w:r>
        <w:t xml:space="preserve">Saudi</w:t>
      </w:r>
      <w:r>
        <w:t xml:space="preserve"> </w:t>
      </w:r>
      <w:r>
        <w:t xml:space="preserve">Arabian</w:t>
      </w:r>
      <w:r>
        <w:t xml:space="preserve"> </w:t>
      </w:r>
      <w:r>
        <w:t xml:space="preserve">patients with antenatal cystic kidney disease and ciliopathy phenotypes using a targeted renal gene panel.</w:t>
      </w:r>
      <w:r>
        <w:t xml:space="preserve"> </w:t>
      </w:r>
      <w:r>
        <w:rPr>
          <w:iCs/>
          <w:i/>
        </w:rPr>
        <w:t xml:space="preserve">Journal of Medical Genetics</w:t>
      </w:r>
      <w:r>
        <w:t xml:space="preserve">,</w:t>
      </w:r>
      <w:r>
        <w:t xml:space="preserve"> </w:t>
      </w:r>
      <w:r>
        <w:rPr>
          <w:iCs/>
          <w:i/>
        </w:rPr>
        <w:t xml:space="preserve">53</w:t>
      </w:r>
      <w:r>
        <w:t xml:space="preserve">(5), 338–347.</w:t>
      </w:r>
      <w:r>
        <w:t xml:space="preserve"> </w:t>
      </w:r>
      <w:hyperlink r:id="rId103">
        <w:r>
          <w:rPr>
            <w:rStyle w:val="Hyperlink"/>
          </w:rPr>
          <w:t xml:space="preserve">https://doi.org/10.1136/jmedgenet-2015-103469</w:t>
        </w:r>
      </w:hyperlink>
    </w:p>
    <w:bookmarkEnd w:id="104"/>
    <w:bookmarkStart w:id="106" w:name="ref-bleyer_genetic_2022"/>
    <w:p>
      <w:pPr>
        <w:pStyle w:val="Bibliography"/>
      </w:pPr>
      <w:r>
        <w:t xml:space="preserve">Bleyer, A. J., Westemeyer, M., Xie, J., Bloom, M. S., Brossart, K., Eckel, J. J., Jones, F., Molnar, M. Z., Kotzker, W., Anand, P., Kmoch, S., Xue, Y., Strom, S., Punj, S., Demko, Z. P., Tabriziani, H., Billings, P. R., &amp; McKanna, T. (2022). Genetic</w:t>
      </w:r>
      <w:r>
        <w:t xml:space="preserve"> </w:t>
      </w:r>
      <w:r>
        <w:t xml:space="preserve">Etiologies</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Revealed</w:t>
      </w:r>
      <w:r>
        <w:t xml:space="preserve"> </w:t>
      </w:r>
      <w:r>
        <w:t xml:space="preserve">through</w:t>
      </w:r>
      <w:r>
        <w:t xml:space="preserve"> </w:t>
      </w:r>
      <w:r>
        <w:t xml:space="preserve">Next</w:t>
      </w:r>
      <w:r>
        <w:t xml:space="preserve">-</w:t>
      </w:r>
      <w:r>
        <w:t xml:space="preserve">Generation</w:t>
      </w:r>
      <w:r>
        <w:t xml:space="preserve"> </w:t>
      </w:r>
      <w:r>
        <w:t xml:space="preserve">Renal</w:t>
      </w:r>
      <w:r>
        <w:t xml:space="preserve"> </w:t>
      </w:r>
      <w:r>
        <w:t xml:space="preserve">Gene</w:t>
      </w:r>
      <w:r>
        <w:t xml:space="preserve"> </w:t>
      </w:r>
      <w:r>
        <w:t xml:space="preserve">Panel</w:t>
      </w:r>
      <w:r>
        <w:t xml:space="preserve">.</w:t>
      </w:r>
      <w:r>
        <w:t xml:space="preserve"> </w:t>
      </w:r>
      <w:r>
        <w:rPr>
          <w:iCs/>
          <w:i/>
        </w:rPr>
        <w:t xml:space="preserve">American Journal of Nephrology</w:t>
      </w:r>
      <w:r>
        <w:t xml:space="preserve">,</w:t>
      </w:r>
      <w:r>
        <w:t xml:space="preserve"> </w:t>
      </w:r>
      <w:r>
        <w:rPr>
          <w:iCs/>
          <w:i/>
        </w:rPr>
        <w:t xml:space="preserve">53</w:t>
      </w:r>
      <w:r>
        <w:t xml:space="preserve">(4), 297–306.</w:t>
      </w:r>
      <w:r>
        <w:t xml:space="preserve"> </w:t>
      </w:r>
      <w:hyperlink r:id="rId105">
        <w:r>
          <w:rPr>
            <w:rStyle w:val="Hyperlink"/>
          </w:rPr>
          <w:t xml:space="preserve">https://doi.org/10.1159/000522226</w:t>
        </w:r>
      </w:hyperlink>
    </w:p>
    <w:bookmarkEnd w:id="106"/>
    <w:bookmarkStart w:id="108"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107">
        <w:r>
          <w:rPr>
            <w:rStyle w:val="Hyperlink"/>
          </w:rPr>
          <w:t xml:space="preserve">https://doi.org/10.1038/s41431-023-01296-x</w:t>
        </w:r>
      </w:hyperlink>
    </w:p>
    <w:bookmarkEnd w:id="108"/>
    <w:bookmarkStart w:id="110" w:name="ref-bullich_kidney-disease_2018"/>
    <w:p>
      <w:pPr>
        <w:pStyle w:val="Bibliography"/>
      </w:pPr>
      <w:r>
        <w:t xml:space="preserve">Bullich, G., Domingo-Gallego, A., Vargas, I., Ruiz, P., Lorente-Grandoso, L., Furlano, M., Fraga, G., Madrid, Á., Ariceta, G., Borregán, M., Piñero-Fernández, J. A., Rodríguez-Peña, L., Ballesta-Martínez, M. J., Llano-Rivas, I., Meñica, M. A., Ballarín, J., Torrents, D., Torra, R., &amp; Ars, E. (2018). A kidney-disease gene panel allows a comprehensive genetic diagnosis of cystic and glomerular inherited kidney diseases.</w:t>
      </w:r>
      <w:r>
        <w:t xml:space="preserve"> </w:t>
      </w:r>
      <w:r>
        <w:rPr>
          <w:iCs/>
          <w:i/>
        </w:rPr>
        <w:t xml:space="preserve">Kidney International</w:t>
      </w:r>
      <w:r>
        <w:t xml:space="preserve">,</w:t>
      </w:r>
      <w:r>
        <w:t xml:space="preserve"> </w:t>
      </w:r>
      <w:r>
        <w:rPr>
          <w:iCs/>
          <w:i/>
        </w:rPr>
        <w:t xml:space="preserve">94</w:t>
      </w:r>
      <w:r>
        <w:t xml:space="preserve">(2), 363–371.</w:t>
      </w:r>
      <w:r>
        <w:t xml:space="preserve"> </w:t>
      </w:r>
      <w:hyperlink r:id="rId109">
        <w:r>
          <w:rPr>
            <w:rStyle w:val="Hyperlink"/>
          </w:rPr>
          <w:t xml:space="preserve">https://doi.org/10.1016/j.kint.2018.02.027</w:t>
        </w:r>
      </w:hyperlink>
    </w:p>
    <w:bookmarkEnd w:id="110"/>
    <w:bookmarkStart w:id="112" w:name="ref-claus_review_2022"/>
    <w:p>
      <w:pPr>
        <w:pStyle w:val="Bibliography"/>
      </w:pPr>
      <w:r>
        <w:t xml:space="preserve">Claus, L. R., Snoek, R., Knoers, N. V. A. M., &amp; Eerde, A. M. van. (2022). Review of genetic testing in kidney disease patients:</w:t>
      </w:r>
      <w:r>
        <w:t xml:space="preserve"> </w:t>
      </w:r>
      <w:r>
        <w:t xml:space="preserve">Diagnostic</w:t>
      </w:r>
      <w:r>
        <w:t xml:space="preserve"> </w:t>
      </w:r>
      <w:r>
        <w:t xml:space="preserve">yield of single nucleotide variants and copy number variations evaluated across and within kidney phenotype groups.</w:t>
      </w:r>
      <w:r>
        <w:t xml:space="preserve"> </w:t>
      </w:r>
      <w:r>
        <w:rPr>
          <w:iCs/>
          <w:i/>
        </w:rPr>
        <w:t xml:space="preserve">American Journal of Medical Genetics. Part C, Seminars in Medical Genetics</w:t>
      </w:r>
      <w:r>
        <w:t xml:space="preserve">,</w:t>
      </w:r>
      <w:r>
        <w:t xml:space="preserve"> </w:t>
      </w:r>
      <w:r>
        <w:rPr>
          <w:iCs/>
          <w:i/>
        </w:rPr>
        <w:t xml:space="preserve">190</w:t>
      </w:r>
      <w:r>
        <w:t xml:space="preserve">(3), 358–376.</w:t>
      </w:r>
      <w:r>
        <w:t xml:space="preserve"> </w:t>
      </w:r>
      <w:hyperlink r:id="rId111">
        <w:r>
          <w:rPr>
            <w:rStyle w:val="Hyperlink"/>
          </w:rPr>
          <w:t xml:space="preserve">https://doi.org/10.1002/ajmg.c.31995</w:t>
        </w:r>
      </w:hyperlink>
    </w:p>
    <w:bookmarkEnd w:id="112"/>
    <w:bookmarkStart w:id="114" w:name="ref-cormican_autosomal_2019"/>
    <w:p>
      <w:pPr>
        <w:pStyle w:val="Bibliography"/>
      </w:pPr>
      <w:r>
        <w:t xml:space="preserve">Cormican, S., Connaughton, D. M., Kennedy, C., Murray, S., Živná, M., Kmoch, S., Fennelly, N. K., O’Kelly, P., Benson, K. A., Conlon, E. T., Cavalleri, G., Foley, C., Doyle, B., Dorman, A., Little, M. A., Lavin, P., Kidd, K., Bleyer, A. J., &amp; Conlon, P. J. (2019). Autosomal dominant tubulointerstitial kidney disease (</w:t>
      </w:r>
      <w:r>
        <w:t xml:space="preserve">ADTKD</w:t>
      </w:r>
      <w:r>
        <w:t xml:space="preserve">) in</w:t>
      </w:r>
      <w:r>
        <w:t xml:space="preserve"> </w:t>
      </w:r>
      <w:r>
        <w:t xml:space="preserve">Ireland</w:t>
      </w:r>
      <w:r>
        <w:t xml:space="preserve">.</w:t>
      </w:r>
      <w:r>
        <w:t xml:space="preserve"> </w:t>
      </w:r>
      <w:r>
        <w:rPr>
          <w:iCs/>
          <w:i/>
        </w:rPr>
        <w:t xml:space="preserve">Renal Failure</w:t>
      </w:r>
      <w:r>
        <w:t xml:space="preserve">,</w:t>
      </w:r>
      <w:r>
        <w:t xml:space="preserve"> </w:t>
      </w:r>
      <w:r>
        <w:rPr>
          <w:iCs/>
          <w:i/>
        </w:rPr>
        <w:t xml:space="preserve">41</w:t>
      </w:r>
      <w:r>
        <w:t xml:space="preserve">(1), 832–841.</w:t>
      </w:r>
      <w:r>
        <w:t xml:space="preserve"> </w:t>
      </w:r>
      <w:hyperlink r:id="rId113">
        <w:r>
          <w:rPr>
            <w:rStyle w:val="Hyperlink"/>
          </w:rPr>
          <w:t xml:space="preserve">https://doi.org/10.1080/0886022X.2019.1655452</w:t>
        </w:r>
      </w:hyperlink>
    </w:p>
    <w:bookmarkEnd w:id="114"/>
    <w:bookmarkStart w:id="116" w:name="ref-devarajan_emerging_2022"/>
    <w:p>
      <w:pPr>
        <w:pStyle w:val="Bibliography"/>
      </w:pPr>
      <w:r>
        <w:t xml:space="preserve">Devarajan, P., Chertow, G. M., Susztak, K., Levin, A., Agarwal, R., Stenvinkel, P., Chapman, A. B., &amp; Warady, B. A. (2022). Emerging</w:t>
      </w:r>
      <w:r>
        <w:t xml:space="preserve"> </w:t>
      </w:r>
      <w:r>
        <w:t xml:space="preserve">Role</w:t>
      </w:r>
      <w:r>
        <w:t xml:space="preserve"> </w:t>
      </w:r>
      <w:r>
        <w:t xml:space="preserve">of</w:t>
      </w:r>
      <w:r>
        <w:t xml:space="preserve"> </w:t>
      </w:r>
      <w:r>
        <w:t xml:space="preserve">Clinical</w:t>
      </w:r>
      <w:r>
        <w:t xml:space="preserve"> </w:t>
      </w:r>
      <w:r>
        <w:t xml:space="preserve">Genetics</w:t>
      </w:r>
      <w:r>
        <w:t xml:space="preserve"> </w:t>
      </w:r>
      <w:r>
        <w:t xml:space="preserve">in</w:t>
      </w:r>
      <w:r>
        <w:t xml:space="preserve"> </w:t>
      </w:r>
      <w:r>
        <w:t xml:space="preserve">CKD</w:t>
      </w:r>
      <w:r>
        <w:t xml:space="preserve">.</w:t>
      </w:r>
      <w:r>
        <w:t xml:space="preserve"> </w:t>
      </w:r>
      <w:r>
        <w:rPr>
          <w:iCs/>
          <w:i/>
        </w:rPr>
        <w:t xml:space="preserve">Kidney Medicine</w:t>
      </w:r>
      <w:r>
        <w:t xml:space="preserve">,</w:t>
      </w:r>
      <w:r>
        <w:t xml:space="preserve"> </w:t>
      </w:r>
      <w:r>
        <w:rPr>
          <w:iCs/>
          <w:i/>
        </w:rPr>
        <w:t xml:space="preserve">4</w:t>
      </w:r>
      <w:r>
        <w:t xml:space="preserve">(4), 100435.</w:t>
      </w:r>
      <w:r>
        <w:t xml:space="preserve"> </w:t>
      </w:r>
      <w:hyperlink r:id="rId115">
        <w:r>
          <w:rPr>
            <w:rStyle w:val="Hyperlink"/>
          </w:rPr>
          <w:t xml:space="preserve">https://doi.org/10.1016/j.xkme.2022.100435</w:t>
        </w:r>
      </w:hyperlink>
    </w:p>
    <w:bookmarkEnd w:id="116"/>
    <w:bookmarkStart w:id="118" w:name="ref-domingo-gallego_clinical_2022"/>
    <w:p>
      <w:pPr>
        <w:pStyle w:val="Bibliography"/>
      </w:pPr>
      <w:r>
        <w:t xml:space="preserve">Domingo-Gallego, A., Pybus, M., Bullich, G., Furlano, M., Ejarque-Vila, L., Lorente-Grandoso, L., Ruiz, P., Fraga, G., López González, M., Piñero-Fernández, J. A., Rodríguez-Peña, L., Llano-Rivas, I., Sáez, R., Bujons-Tur, A., Ariceta, G., Guirado, L., Torra, R., &amp; Ars, E. (2022). Clinical utility of genetic testing in early-onset kidney disease: Seven genes are the main players.</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(4), 687–696.</w:t>
      </w:r>
      <w:r>
        <w:t xml:space="preserve"> </w:t>
      </w:r>
      <w:hyperlink r:id="rId117">
        <w:r>
          <w:rPr>
            <w:rStyle w:val="Hyperlink"/>
          </w:rPr>
          <w:t xml:space="preserve">https://doi.org/10.1093/ndt/gfab019</w:t>
        </w:r>
      </w:hyperlink>
    </w:p>
    <w:bookmarkEnd w:id="118"/>
    <w:bookmarkStart w:id="120" w:name="ref-elhassan_utility_2022"/>
    <w:p>
      <w:pPr>
        <w:pStyle w:val="Bibliography"/>
      </w:pPr>
      <w:r>
        <w:t xml:space="preserve">Elhassan, E. A. E., Murray, S. L., Connaughton, D. M., Kennedy, C., Cormican, S., Cowhig, C., Stapleton, C., Little, M. A., Kidd, K., Bleyer, A. J., Živná, M., Kmoch, S., Fennelly, N. K., Doyle, B., Dorman, A., Griffin, M. D., Casserly, L., Harris, P. C., Hildebrandt, F., … Conlon, P. J. (2022). The utility of a genetic kidney disease clinic employing a broad range of genomic testing platforms: Experience of the</w:t>
      </w:r>
      <w:r>
        <w:t xml:space="preserve"> </w:t>
      </w:r>
      <w:r>
        <w:t xml:space="preserve">Irish</w:t>
      </w:r>
      <w:r>
        <w:t xml:space="preserve"> </w:t>
      </w:r>
      <w:r>
        <w:t xml:space="preserve">Kidney</w:t>
      </w:r>
      <w:r>
        <w:t xml:space="preserve"> </w:t>
      </w:r>
      <w:r>
        <w:t xml:space="preserve">Gene</w:t>
      </w:r>
      <w:r>
        <w:t xml:space="preserve"> </w:t>
      </w:r>
      <w:r>
        <w:t xml:space="preserve">Project</w:t>
      </w:r>
      <w:r>
        <w:t xml:space="preserve">.</w:t>
      </w:r>
      <w:r>
        <w:t xml:space="preserve"> </w:t>
      </w:r>
      <w:r>
        <w:rPr>
          <w:iCs/>
          <w:i/>
        </w:rPr>
        <w:t xml:space="preserve">Journal of Nephrology</w:t>
      </w:r>
      <w:r>
        <w:t xml:space="preserve">,</w:t>
      </w:r>
      <w:r>
        <w:t xml:space="preserve"> </w:t>
      </w:r>
      <w:r>
        <w:rPr>
          <w:iCs/>
          <w:i/>
        </w:rPr>
        <w:t xml:space="preserve">35</w:t>
      </w:r>
      <w:r>
        <w:t xml:space="preserve">(6), 1655–1665.</w:t>
      </w:r>
      <w:r>
        <w:t xml:space="preserve"> </w:t>
      </w:r>
      <w:hyperlink r:id="rId119">
        <w:r>
          <w:rPr>
            <w:rStyle w:val="Hyperlink"/>
          </w:rPr>
          <w:t xml:space="preserve">https://doi.org/10.1007/s40620-021-01236-2</w:t>
        </w:r>
      </w:hyperlink>
    </w:p>
    <w:bookmarkEnd w:id="120"/>
    <w:bookmarkStart w:id="122" w:name="ref-jordan_targeted_2022"/>
    <w:p>
      <w:pPr>
        <w:pStyle w:val="Bibliography"/>
      </w:pPr>
      <w:r>
        <w:t xml:space="preserve">Jordan, P., Dorval, G., Arrondel, C., Morinière, V., Tournant, C., Audrezet, M.-P., Michel-Calemard, L., Putoux, A., Lesca, G., Labalme, A., Whalen, S., Loeuillet, L., Martinovic, J., Attie-Bitach, T., Bessières, B., Schaefer, E., Scheidecker, S., Lambert, L., Beneteau, C., … Heidet, L. (2022). Targeted next-generation sequencing in a large series of fetuses with severe renal diseases.</w:t>
      </w:r>
      <w:r>
        <w:t xml:space="preserve"> </w:t>
      </w:r>
      <w:r>
        <w:rPr>
          <w:iCs/>
          <w:i/>
        </w:rPr>
        <w:t xml:space="preserve">Human Mutation</w:t>
      </w:r>
      <w:r>
        <w:t xml:space="preserve">,</w:t>
      </w:r>
      <w:r>
        <w:t xml:space="preserve"> </w:t>
      </w:r>
      <w:r>
        <w:rPr>
          <w:iCs/>
          <w:i/>
        </w:rPr>
        <w:t xml:space="preserve">43</w:t>
      </w:r>
      <w:r>
        <w:t xml:space="preserve">(3), 347–361.</w:t>
      </w:r>
      <w:r>
        <w:t xml:space="preserve"> </w:t>
      </w:r>
      <w:hyperlink r:id="rId121">
        <w:r>
          <w:rPr>
            <w:rStyle w:val="Hyperlink"/>
          </w:rPr>
          <w:t xml:space="preserve">https://doi.org/10.1002/humu.24324</w:t>
        </w:r>
      </w:hyperlink>
    </w:p>
    <w:bookmarkEnd w:id="122"/>
    <w:bookmarkStart w:id="124" w:name="Xb1c03bfb9943a66090c886478c37224f4abe23e"/>
    <w:p>
      <w:pPr>
        <w:pStyle w:val="Bibliography"/>
      </w:pPr>
      <w:r>
        <w:t xml:space="preserve">KDIGO Conference Participants. (2022). Genetics in chronic kidney disease: Conclusions from a</w:t>
      </w:r>
      <w:r>
        <w:t xml:space="preserve"> </w:t>
      </w:r>
      <w:r>
        <w:t xml:space="preserve">Kidney</w:t>
      </w:r>
      <w:r>
        <w:t xml:space="preserve"> </w:t>
      </w:r>
      <w:r>
        <w:t xml:space="preserve">Disease</w:t>
      </w:r>
      <w:r>
        <w:t xml:space="preserve">:</w:t>
      </w:r>
      <w:r>
        <w:t xml:space="preserve"> </w:t>
      </w:r>
      <w:r>
        <w:t xml:space="preserve">Improving</w:t>
      </w:r>
      <w:r>
        <w:t xml:space="preserve"> </w:t>
      </w:r>
      <w:r>
        <w:t xml:space="preserve">Global</w:t>
      </w:r>
      <w:r>
        <w:t xml:space="preserve"> </w:t>
      </w:r>
      <w:r>
        <w:t xml:space="preserve">Outcomes</w:t>
      </w:r>
      <w:r>
        <w:t xml:space="preserve"> </w:t>
      </w:r>
      <w:r>
        <w:t xml:space="preserve">(</w:t>
      </w:r>
      <w:r>
        <w:t xml:space="preserve">KDIGO</w:t>
      </w:r>
      <w:r>
        <w:t xml:space="preserve">)</w:t>
      </w:r>
      <w:r>
        <w:t xml:space="preserve"> </w:t>
      </w:r>
      <w:r>
        <w:t xml:space="preserve">Controversies</w:t>
      </w:r>
      <w:r>
        <w:t xml:space="preserve"> </w:t>
      </w:r>
      <w:r>
        <w:t xml:space="preserve">Conference</w:t>
      </w:r>
      <w:r>
        <w:t xml:space="preserve">.</w:t>
      </w:r>
      <w:r>
        <w:t xml:space="preserve"> </w:t>
      </w:r>
      <w:r>
        <w:rPr>
          <w:iCs/>
          <w:i/>
        </w:rPr>
        <w:t xml:space="preserve">Kidney International</w:t>
      </w:r>
      <w:r>
        <w:t xml:space="preserve">,</w:t>
      </w:r>
      <w:r>
        <w:t xml:space="preserve"> </w:t>
      </w:r>
      <w:r>
        <w:rPr>
          <w:iCs/>
          <w:i/>
        </w:rPr>
        <w:t xml:space="preserve">101</w:t>
      </w:r>
      <w:r>
        <w:t xml:space="preserve">(6), 1126–1141.</w:t>
      </w:r>
      <w:r>
        <w:t xml:space="preserve"> </w:t>
      </w:r>
      <w:hyperlink r:id="rId123">
        <w:r>
          <w:rPr>
            <w:rStyle w:val="Hyperlink"/>
          </w:rPr>
          <w:t xml:space="preserve">https://doi.org/10.1016/j.kint.2022.03.019</w:t>
        </w:r>
      </w:hyperlink>
    </w:p>
    <w:bookmarkEnd w:id="124"/>
    <w:bookmarkStart w:id="126" w:name="ref-knoers_genetic_2022"/>
    <w:p>
      <w:pPr>
        <w:pStyle w:val="Bibliography"/>
      </w:pPr>
      <w:r>
        <w:t xml:space="preserve">Knoers, N., Antignac, C., Bergmann, C., Dahan, K., Giglio, S., Heidet, L., Lipska-Ziętkiewicz, B. S., Noris, M., Remuzzi, G., Vargas-Poussou, R., &amp; Schaefer, F. (2022). Genetic testing in the diagnosis of chronic kidney disease: Recommendations for clinical practice.</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(2), 239–254.</w:t>
      </w:r>
      <w:r>
        <w:t xml:space="preserve"> </w:t>
      </w:r>
      <w:hyperlink r:id="rId125">
        <w:r>
          <w:rPr>
            <w:rStyle w:val="Hyperlink"/>
          </w:rPr>
          <w:t xml:space="preserve">https://doi.org/10.1093/ndt/gfab218</w:t>
        </w:r>
      </w:hyperlink>
    </w:p>
    <w:bookmarkEnd w:id="126"/>
    <w:bookmarkStart w:id="128"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127">
        <w:r>
          <w:rPr>
            <w:rStyle w:val="Hyperlink"/>
          </w:rPr>
          <w:t xml:space="preserve">https://doi.org/10.1093/nar/gkaa1043</w:t>
        </w:r>
      </w:hyperlink>
    </w:p>
    <w:bookmarkEnd w:id="128"/>
    <w:bookmarkStart w:id="130"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129">
        <w:r>
          <w:rPr>
            <w:rStyle w:val="Hyperlink"/>
          </w:rPr>
          <w:t xml:space="preserve">https://doi.org/10.1038/s41588-019-0528-2</w:t>
        </w:r>
      </w:hyperlink>
    </w:p>
    <w:bookmarkEnd w:id="130"/>
    <w:bookmarkStart w:id="132" w:name="ref-murray_utility_2020"/>
    <w:p>
      <w:pPr>
        <w:pStyle w:val="Bibliography"/>
      </w:pPr>
      <w:r>
        <w:t xml:space="preserve">Murray, S. L., Dorman, A., Benson, K. A., Connaughton, D. M., Stapleton, C. P., Fennelly, N. K., Kennedy, C., McDonnell, C. A., Kidd, K., Cormican, S. M., Ryan, L. A., Lavin, P., Little, M. A., Bleyer, A. J., Doyle, B., Cavalleri, G. L., Hildebrandt, F., &amp; Conlon, P. J. (2020). Utility of</w:t>
      </w:r>
      <w:r>
        <w:t xml:space="preserve"> </w:t>
      </w:r>
      <w:r>
        <w:t xml:space="preserve">Genomic</w:t>
      </w:r>
      <w:r>
        <w:t xml:space="preserve"> </w:t>
      </w:r>
      <w:r>
        <w:t xml:space="preserve">Testing</w:t>
      </w:r>
      <w:r>
        <w:t xml:space="preserve"> </w:t>
      </w:r>
      <w:r>
        <w:t xml:space="preserve">after</w:t>
      </w:r>
      <w:r>
        <w:t xml:space="preserve"> </w:t>
      </w:r>
      <w:r>
        <w:t xml:space="preserve">Renal</w:t>
      </w:r>
      <w:r>
        <w:t xml:space="preserve"> </w:t>
      </w:r>
      <w:r>
        <w:t xml:space="preserve">Biopsy</w:t>
      </w:r>
      <w:r>
        <w:t xml:space="preserve">.</w:t>
      </w:r>
      <w:r>
        <w:t xml:space="preserve"> </w:t>
      </w:r>
      <w:r>
        <w:rPr>
          <w:iCs/>
          <w:i/>
        </w:rPr>
        <w:t xml:space="preserve">American Journal of Nephrology</w:t>
      </w:r>
      <w:r>
        <w:t xml:space="preserve">,</w:t>
      </w:r>
      <w:r>
        <w:t xml:space="preserve"> </w:t>
      </w:r>
      <w:r>
        <w:rPr>
          <w:iCs/>
          <w:i/>
        </w:rPr>
        <w:t xml:space="preserve">51</w:t>
      </w:r>
      <w:r>
        <w:t xml:space="preserve">(1), 43–53.</w:t>
      </w:r>
      <w:r>
        <w:t xml:space="preserve"> </w:t>
      </w:r>
      <w:hyperlink r:id="rId131">
        <w:r>
          <w:rPr>
            <w:rStyle w:val="Hyperlink"/>
          </w:rPr>
          <w:t xml:space="preserve">https://doi.org/10.1159/000504869</w:t>
        </w:r>
      </w:hyperlink>
    </w:p>
    <w:bookmarkEnd w:id="132"/>
    <w:bookmarkStart w:id="134" w:name="ref-ottlewski_value_2019"/>
    <w:p>
      <w:pPr>
        <w:pStyle w:val="Bibliography"/>
      </w:pPr>
      <w:r>
        <w:t xml:space="preserve">Ottlewski, I., Münch, J., Wagner, T., Schönauer, R., Bachmann, A., Weimann, A., Hentschel, J., Lindner, T. H., Seehofer, D., Bergmann, C., Jamra, R. A., &amp; Halbritter, J. (2019). Value of renal gene panel diagnostics in adults waiting for kidney transplantation due to undetermined end-stage renal disease.</w:t>
      </w:r>
      <w:r>
        <w:t xml:space="preserve"> </w:t>
      </w:r>
      <w:r>
        <w:rPr>
          <w:iCs/>
          <w:i/>
        </w:rPr>
        <w:t xml:space="preserve">Kidney International</w:t>
      </w:r>
      <w:r>
        <w:t xml:space="preserve">,</w:t>
      </w:r>
      <w:r>
        <w:t xml:space="preserve"> </w:t>
      </w:r>
      <w:r>
        <w:rPr>
          <w:iCs/>
          <w:i/>
        </w:rPr>
        <w:t xml:space="preserve">96</w:t>
      </w:r>
      <w:r>
        <w:t xml:space="preserve">(1), 222–230.</w:t>
      </w:r>
      <w:r>
        <w:t xml:space="preserve"> </w:t>
      </w:r>
      <w:hyperlink r:id="rId133">
        <w:r>
          <w:rPr>
            <w:rStyle w:val="Hyperlink"/>
          </w:rPr>
          <w:t xml:space="preserve">https://doi.org/10.1016/j.kint.2019.01.038</w:t>
        </w:r>
      </w:hyperlink>
    </w:p>
    <w:bookmarkEnd w:id="134"/>
    <w:bookmarkStart w:id="136" w:name="ref-rasouly_burden_2019"/>
    <w:p>
      <w:pPr>
        <w:pStyle w:val="Bibliography"/>
      </w:pPr>
      <w:r>
        <w:t xml:space="preserve">Rasouly, H. M., Groopman, E. E., Heyman-Kantor, R., Fasel, D. A., Mitrotti, A., Westland, R., Bier, L., Weng, C., Ren, Z., Copeland, B., Krithivasan, P., Chung, W. K., Sanna-Cherchi, S., Goldstein, D. B., &amp; Gharavi, A. G. (2019). The</w:t>
      </w:r>
      <w:r>
        <w:t xml:space="preserve"> </w:t>
      </w:r>
      <w:r>
        <w:t xml:space="preserve">Burden</w:t>
      </w:r>
      <w:r>
        <w:t xml:space="preserve"> </w:t>
      </w:r>
      <w:r>
        <w:t xml:space="preserve">of</w:t>
      </w:r>
      <w:r>
        <w:t xml:space="preserve"> </w:t>
      </w:r>
      <w:r>
        <w:t xml:space="preserve">Candidate</w:t>
      </w:r>
      <w:r>
        <w:t xml:space="preserve"> </w:t>
      </w:r>
      <w:r>
        <w:t xml:space="preserve">Pathogenic</w:t>
      </w:r>
      <w:r>
        <w:t xml:space="preserve"> </w:t>
      </w:r>
      <w:r>
        <w:t xml:space="preserve">Variants</w:t>
      </w:r>
      <w:r>
        <w:t xml:space="preserve"> </w:t>
      </w:r>
      <w:r>
        <w:t xml:space="preserve">for</w:t>
      </w:r>
      <w:r>
        <w:t xml:space="preserve"> </w:t>
      </w:r>
      <w:r>
        <w:t xml:space="preserve">Kidney</w:t>
      </w:r>
      <w:r>
        <w:t xml:space="preserve"> </w:t>
      </w:r>
      <w:r>
        <w:t xml:space="preserve">and</w:t>
      </w:r>
      <w:r>
        <w:t xml:space="preserve"> </w:t>
      </w:r>
      <w:r>
        <w:t xml:space="preserve">Genitourinary</w:t>
      </w:r>
      <w:r>
        <w:t xml:space="preserve"> </w:t>
      </w:r>
      <w:r>
        <w:t xml:space="preserve">Disorders</w:t>
      </w:r>
      <w:r>
        <w:t xml:space="preserve"> </w:t>
      </w:r>
      <w:r>
        <w:t xml:space="preserve">Emerging</w:t>
      </w:r>
      <w:r>
        <w:t xml:space="preserve"> </w:t>
      </w:r>
      <w:r>
        <w:t xml:space="preserve">From</w:t>
      </w:r>
      <w:r>
        <w:t xml:space="preserve"> </w:t>
      </w:r>
      <w:r>
        <w:t xml:space="preserve">Exome</w:t>
      </w:r>
      <w:r>
        <w:t xml:space="preserve"> </w:t>
      </w:r>
      <w:r>
        <w:t xml:space="preserve">Sequencing</w:t>
      </w:r>
      <w:r>
        <w:t xml:space="preserve">.</w:t>
      </w:r>
      <w:r>
        <w:t xml:space="preserve"> </w:t>
      </w:r>
      <w:r>
        <w:rPr>
          <w:iCs/>
          <w:i/>
        </w:rPr>
        <w:t xml:space="preserve">Annals of Internal Medicine</w:t>
      </w:r>
      <w:r>
        <w:t xml:space="preserve">,</w:t>
      </w:r>
      <w:r>
        <w:t xml:space="preserve"> </w:t>
      </w:r>
      <w:r>
        <w:rPr>
          <w:iCs/>
          <w:i/>
        </w:rPr>
        <w:t xml:space="preserve">170</w:t>
      </w:r>
      <w:r>
        <w:t xml:space="preserve">(1), 11–21.</w:t>
      </w:r>
      <w:r>
        <w:t xml:space="preserve"> </w:t>
      </w:r>
      <w:hyperlink r:id="rId135">
        <w:r>
          <w:rPr>
            <w:rStyle w:val="Hyperlink"/>
          </w:rPr>
          <w:t xml:space="preserve">https://doi.org/10.7326/M18-1241</w:t>
        </w:r>
      </w:hyperlink>
    </w:p>
    <w:bookmarkEnd w:id="136"/>
    <w:bookmarkStart w:id="138" w:name="ref-tanudisastro_australia_2021"/>
    <w:p>
      <w:pPr>
        <w:pStyle w:val="Bibliography"/>
      </w:pPr>
      <w:r>
        <w:t xml:space="preserve">Tanudisastro, H. A., Holman, K., Ho, G., Farnsworth, E., Fisk, K., Gayagay, T., Hackett, E., Jenkins, G., Krishnaraj, R., Lai, T., Wong, K., Patel, C., Mallawaarachchi, A., Mallett, A. J., Bennetts, B., Alexander, S. I., &amp; McCarthy, H. J. (2021). Australia and</w:t>
      </w:r>
      <w:r>
        <w:t xml:space="preserve"> </w:t>
      </w:r>
      <w:r>
        <w:t xml:space="preserve">New</w:t>
      </w:r>
      <w:r>
        <w:t xml:space="preserve"> </w:t>
      </w:r>
      <w:r>
        <w:t xml:space="preserve">Zealand</w:t>
      </w:r>
      <w:r>
        <w:t xml:space="preserve"> </w:t>
      </w:r>
      <w:r>
        <w:t xml:space="preserve">renal gene panel testing in routine clinical practice of 542 families.</w:t>
      </w:r>
      <w:r>
        <w:t xml:space="preserve"> </w:t>
      </w:r>
      <w:r>
        <w:rPr>
          <w:iCs/>
          <w:i/>
        </w:rPr>
        <w:t xml:space="preserve">NPJ Genomic Medicine</w:t>
      </w:r>
      <w:r>
        <w:t xml:space="preserve">,</w:t>
      </w:r>
      <w:r>
        <w:t xml:space="preserve"> </w:t>
      </w:r>
      <w:r>
        <w:rPr>
          <w:iCs/>
          <w:i/>
        </w:rPr>
        <w:t xml:space="preserve">6</w:t>
      </w:r>
      <w:r>
        <w:t xml:space="preserve">(1), 20.</w:t>
      </w:r>
      <w:r>
        <w:t xml:space="preserve"> </w:t>
      </w:r>
      <w:hyperlink r:id="rId137">
        <w:r>
          <w:rPr>
            <w:rStyle w:val="Hyperlink"/>
          </w:rPr>
          <w:t xml:space="preserve">https://doi.org/10.1038/s41525-021-00184-x</w:t>
        </w:r>
      </w:hyperlink>
    </w:p>
    <w:bookmarkEnd w:id="138"/>
    <w:bookmarkStart w:id="140"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139">
        <w:r>
          <w:rPr>
            <w:rStyle w:val="Hyperlink"/>
          </w:rPr>
          <w:t xml:space="preserve">https://doi.org/10.1093/nar/gkt441</w:t>
        </w:r>
      </w:hyperlink>
    </w:p>
    <w:bookmarkEnd w:id="140"/>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 /><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_rels/footnotes.xml.rels><?xml version="1.0" encoding="UTF-8"?><Relationships xmlns="http://schemas.openxmlformats.org/package/2006/relationships"><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1" Target="https://doi.org/10.1002/ajmg.c.31995" TargetMode="External" /><Relationship Type="http://schemas.openxmlformats.org/officeDocument/2006/relationships/hyperlink" Id="rId121" Target="https://doi.org/10.1002/humu.24324" TargetMode="External" /><Relationship Type="http://schemas.openxmlformats.org/officeDocument/2006/relationships/hyperlink" Id="rId119" Target="https://doi.org/10.1007/s40620-021-01236-2" TargetMode="External" /><Relationship Type="http://schemas.openxmlformats.org/officeDocument/2006/relationships/hyperlink" Id="rId109" Target="https://doi.org/10.1016/j.kint.2018.02.027" TargetMode="External" /><Relationship Type="http://schemas.openxmlformats.org/officeDocument/2006/relationships/hyperlink" Id="rId133" Target="https://doi.org/10.1016/j.kint.2019.01.038" TargetMode="External" /><Relationship Type="http://schemas.openxmlformats.org/officeDocument/2006/relationships/hyperlink" Id="rId123" Target="https://doi.org/10.1016/j.kint.2022.03.019" TargetMode="External" /><Relationship Type="http://schemas.openxmlformats.org/officeDocument/2006/relationships/hyperlink" Id="rId115" Target="https://doi.org/10.1016/j.xkme.2022.100435" TargetMode="External" /><Relationship Type="http://schemas.openxmlformats.org/officeDocument/2006/relationships/hyperlink" Id="rId107" Target="https://doi.org/10.1038/s41431-023-01296-x" TargetMode="External" /><Relationship Type="http://schemas.openxmlformats.org/officeDocument/2006/relationships/hyperlink" Id="rId137" Target="https://doi.org/10.1038/s41525-021-00184-x" TargetMode="External" /><Relationship Type="http://schemas.openxmlformats.org/officeDocument/2006/relationships/hyperlink" Id="rId129" Target="https://doi.org/10.1038/s41588-019-0528-2" TargetMode="External" /><Relationship Type="http://schemas.openxmlformats.org/officeDocument/2006/relationships/hyperlink" Id="rId113" Target="https://doi.org/10.1080/0886022X.2019.1655452" TargetMode="External" /><Relationship Type="http://schemas.openxmlformats.org/officeDocument/2006/relationships/hyperlink" Id="rId127" Target="https://doi.org/10.1093/nar/gkaa1043" TargetMode="External" /><Relationship Type="http://schemas.openxmlformats.org/officeDocument/2006/relationships/hyperlink" Id="rId139" Target="https://doi.org/10.1093/nar/gkt441" TargetMode="External" /><Relationship Type="http://schemas.openxmlformats.org/officeDocument/2006/relationships/hyperlink" Id="rId117" Target="https://doi.org/10.1093/ndt/gfab019" TargetMode="External" /><Relationship Type="http://schemas.openxmlformats.org/officeDocument/2006/relationships/hyperlink" Id="rId125" Target="https://doi.org/10.1093/ndt/gfab218" TargetMode="External" /><Relationship Type="http://schemas.openxmlformats.org/officeDocument/2006/relationships/hyperlink" Id="rId103" Target="https://doi.org/10.1136/jmedgenet-2015-103469" TargetMode="External" /><Relationship Type="http://schemas.openxmlformats.org/officeDocument/2006/relationships/hyperlink" Id="rId131" Target="https://doi.org/10.1159/000504869" TargetMode="External" /><Relationship Type="http://schemas.openxmlformats.org/officeDocument/2006/relationships/hyperlink" Id="rId105" Target="https://doi.org/10.1159/000522226" TargetMode="External" /><Relationship Type="http://schemas.openxmlformats.org/officeDocument/2006/relationships/hyperlink" Id="rId101" Target="https://doi.org/10.3389/fgene.2022.886038" TargetMode="External" /><Relationship Type="http://schemas.openxmlformats.org/officeDocument/2006/relationships/hyperlink" Id="rId135"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2023-10-12T10:10:28Z</dcterms:created>
  <dcterms:modified xsi:type="dcterms:W3CDTF">2023-10-12T10:10:28Z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2023-10-12</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