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3025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534, (2) 822, (3) 956, (4) 789, and (5) 2158</w:t>
      </w:r>
      <w:r>
        <w:br/>
      </w:r>
      <w:r>
        <w:t xml:space="preserve">Notably,</w:t>
      </w:r>
      <w:r>
        <w:t xml:space="preserve"> </w:t>
      </w:r>
      <w:r>
        <w:rPr>
          <w:bCs/>
          <w:b/>
        </w:rPr>
        <w:t xml:space="preserve">598</w:t>
      </w:r>
      <w:r>
        <w:t xml:space="preserve"> </w:t>
      </w:r>
      <w:r>
        <w:t xml:space="preserve">genes (19.8%) of the</w:t>
      </w:r>
      <w:r>
        <w:t xml:space="preserve"> </w:t>
      </w:r>
      <w:r>
        <w:rPr>
          <w:bCs/>
          <w:b/>
        </w:rPr>
        <w:t xml:space="preserve">total 3025</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526</w:t>
      </w:r>
      <w:r>
        <w:t xml:space="preserve"> </w:t>
      </w:r>
      <w:r>
        <w:t xml:space="preserve">(88.0%) are present in at least one, and</w:t>
      </w:r>
      <w:r>
        <w:t xml:space="preserve"> </w:t>
      </w:r>
      <w:r>
        <w:rPr>
          <w:bCs/>
          <w:b/>
        </w:rPr>
        <w:t xml:space="preserve">56</w:t>
      </w:r>
      <w:r>
        <w:t xml:space="preserve"> </w:t>
      </w:r>
      <w:r>
        <w:t xml:space="preserve">(9.4%)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1992466"/>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1992466"/>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51934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5334000" cy="351934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51934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5334000" cy="351934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51934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5334000" cy="351934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51934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5334000" cy="351934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51934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5334000" cy="351934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5080000" cy="38100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5080000" cy="38100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5080000" cy="38100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5080000" cy="38100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5080000" cy="38100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02417"/>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02417"/>
                    </a:xfrm>
                    <a:prstGeom prst="rect">
                      <a:avLst/>
                    </a:prstGeom>
                    <a:noFill/>
                    <a:ln w="9525">
                      <a:noFill/>
                      <a:headEnd/>
                      <a:tailEnd/>
                    </a:ln>
                  </pic:spPr>
                </pic:pic>
              </a:graphicData>
            </a:graphic>
          </wp:inline>
        </w:drawing>
      </w:r>
    </w:p>
    <w:bookmarkEnd w:id="96"/>
    <w:bookmarkEnd w:id="97"/>
    <w:bookmarkStart w:id="102" w:name="additional-analyses"/>
    <w:p>
      <w:pPr>
        <w:pStyle w:val="Heading1"/>
      </w:pPr>
      <w:r>
        <w:rPr>
          <w:rStyle w:val="SectionNumber"/>
        </w:rPr>
        <w:t xml:space="preserve">4</w:t>
      </w:r>
      <w:r>
        <w:tab/>
      </w:r>
      <w:r>
        <w:t xml:space="preserve">Additional analyses</w:t>
      </w:r>
    </w:p>
    <w:bookmarkStart w:id="101"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5080000" cy="38100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5080000" cy="3810000"/>
                    </a:xfrm>
                    <a:prstGeom prst="rect">
                      <a:avLst/>
                    </a:prstGeom>
                    <a:noFill/>
                    <a:ln w="9525">
                      <a:noFill/>
                      <a:headEnd/>
                      <a:tailEnd/>
                    </a:ln>
                  </pic:spPr>
                </pic:pic>
              </a:graphicData>
            </a:graphic>
          </wp:inline>
        </w:drawing>
      </w:r>
    </w:p>
    <w:bookmarkEnd w:id="101"/>
    <w:bookmarkEnd w:id="102"/>
    <w:bookmarkStart w:id="147" w:name="visualizations"/>
    <w:p>
      <w:pPr>
        <w:pStyle w:val="Heading1"/>
      </w:pPr>
      <w:r>
        <w:rPr>
          <w:rStyle w:val="SectionNumber"/>
        </w:rPr>
        <w:t xml:space="preserve">5</w:t>
      </w:r>
      <w:r>
        <w:tab/>
      </w:r>
      <w:r>
        <w:t xml:space="preserve">Visualizations</w:t>
      </w:r>
    </w:p>
    <w:p>
      <w:pPr>
        <w:pStyle w:val="FirstParagraph"/>
      </w:pPr>
      <w:r>
        <w:t xml:space="preserve">This section provides a comprehensive overview of presentations and posters related to the Kidney Genetics project.</w:t>
      </w:r>
      <w:r>
        <w:t xml:space="preserve"> </w:t>
      </w:r>
      <w:r>
        <w:t xml:space="preserve">As an essential part of our approach to transparency, we have assembled a collection of materials,</w:t>
      </w:r>
      <w:r>
        <w:t xml:space="preserve"> </w:t>
      </w:r>
      <w:r>
        <w:t xml:space="preserve">presented at various conferences and meetings to illustrate the milestones in the project’s development.</w:t>
      </w:r>
    </w:p>
    <w:bookmarkStart w:id="103" w:name="objectives"/>
    <w:p>
      <w:pPr>
        <w:pStyle w:val="Heading2"/>
      </w:pPr>
      <w:r>
        <w:rPr>
          <w:rStyle w:val="SectionNumber"/>
        </w:rPr>
        <w:t xml:space="preserve">5.1</w:t>
      </w:r>
      <w:r>
        <w:tab/>
      </w:r>
      <w:r>
        <w:t xml:space="preserve">Objectives</w:t>
      </w:r>
    </w:p>
    <w:p>
      <w:pPr>
        <w:numPr>
          <w:ilvl w:val="0"/>
          <w:numId w:val="1012"/>
        </w:numPr>
      </w:pPr>
      <w:r>
        <w:rPr>
          <w:bCs/>
          <w:b/>
        </w:rPr>
        <w:t xml:space="preserve">Project Progress Tracking:</w:t>
      </w:r>
      <w:r>
        <w:t xml:space="preserve"> </w:t>
      </w:r>
      <w:r>
        <w:t xml:space="preserve">By organizing presentations and posters chronologically, this section serves as a dynamic timeline to track the progress and evolution of the project.</w:t>
      </w:r>
    </w:p>
    <w:p>
      <w:pPr>
        <w:numPr>
          <w:ilvl w:val="0"/>
          <w:numId w:val="1012"/>
        </w:numPr>
      </w:pPr>
      <w:r>
        <w:rPr>
          <w:bCs/>
          <w:b/>
        </w:rPr>
        <w:t xml:space="preserve">Event-specific Insights:</w:t>
      </w:r>
      <w:r>
        <w:t xml:space="preserve"> </w:t>
      </w:r>
      <w:r>
        <w:t xml:space="preserve">Each entry includes details about the date and event where the presentation or poster was showcased.</w:t>
      </w:r>
    </w:p>
    <w:bookmarkEnd w:id="103"/>
    <w:bookmarkStart w:id="104" w:name="presentations"/>
    <w:p>
      <w:pPr>
        <w:pStyle w:val="Heading2"/>
      </w:pPr>
      <w:r>
        <w:rPr>
          <w:rStyle w:val="SectionNumber"/>
        </w:rPr>
        <w:t xml:space="preserve">5.2</w:t>
      </w:r>
      <w:r>
        <w:tab/>
      </w:r>
      <w:r>
        <w:t xml:space="preserve">Presentations</w:t>
      </w:r>
    </w:p>
    <w:p>
      <w:pPr>
        <w:pStyle w:val="BlockText"/>
      </w:pPr>
      <w:r>
        <w:t xml:space="preserve">Below you can explore the list of Presentations:</w:t>
      </w:r>
    </w:p>
    <w:p>
      <w:pPr>
        <w:pStyle w:val="FirstParagraph"/>
      </w:pPr>
      <w:r>
        <w:rPr>
          <w:bCs/>
          <w:b/>
        </w:rPr>
        <w:t xml:space="preserve">2023-12-05</w:t>
      </w:r>
      <w:r>
        <w:t xml:space="preserve"> </w:t>
      </w:r>
      <w:r>
        <w:t xml:space="preserve">/ This is the presentation of our project presented at our monthly AG-Halbritter Working Group Meeting as a progress report.</w:t>
      </w:r>
    </w:p>
    <w:p>
      <w:pPr>
        <w:pStyle w:val="BodyText"/>
      </w:pPr>
      <w:r>
        <w:rPr>
          <w:bCs/>
          <w:b/>
        </w:rPr>
        <w:t xml:space="preserve">2023-10-07</w:t>
      </w:r>
      <w:r>
        <w:t xml:space="preserve"> </w:t>
      </w:r>
      <w:r>
        <w:t xml:space="preserve">/ This is the presentation of our project presented by Nina Rank as a pitch talk at the annual congress of the German Society of Nephrology - DGfN in Berlin.</w:t>
      </w:r>
    </w:p>
    <w:p>
      <w:pPr>
        <w:pStyle w:val="BodyText"/>
      </w:pPr>
      <w:r>
        <w:rPr>
          <w:bCs/>
          <w:b/>
        </w:rPr>
        <w:t xml:space="preserve">2023-07-05</w:t>
      </w:r>
      <w:r>
        <w:t xml:space="preserve"> </w:t>
      </w:r>
      <w:r>
        <w:t xml:space="preserve">/ This is one of the first presentations at the beginning of this project with some initial ideas presented at our weekly AG-Halbritter Working Group Meeting.</w:t>
      </w:r>
    </w:p>
    <w:bookmarkEnd w:id="104"/>
    <w:bookmarkStart w:id="146" w:name="posters"/>
    <w:p>
      <w:pPr>
        <w:pStyle w:val="Heading2"/>
      </w:pPr>
      <w:r>
        <w:rPr>
          <w:rStyle w:val="SectionNumber"/>
        </w:rPr>
        <w:t xml:space="preserve">5.3</w:t>
      </w:r>
      <w:r>
        <w:tab/>
      </w:r>
      <w:r>
        <w:t xml:space="preserve">Posters</w:t>
      </w:r>
    </w:p>
    <w:p>
      <w:pPr>
        <w:pStyle w:val="BlockText"/>
      </w:pPr>
      <w:r>
        <w:t xml:space="preserve">Below you can explore the list of Posters:</w:t>
      </w:r>
    </w:p>
    <w:p>
      <w:pPr>
        <w:pStyle w:val="FirstParagraph"/>
      </w:pPr>
      <w:r>
        <w:rPr>
          <w:bCs/>
          <w:b/>
        </w:rPr>
        <w:t xml:space="preserve">2023-09-28</w:t>
      </w:r>
      <w:r>
        <w:t xml:space="preserve"> </w:t>
      </w:r>
      <w:r>
        <w:t xml:space="preserve">/ This is our first Poster presented at the inaugural Symposium of the Max Rubner Center for Cardiovascular-Metabolic-Renal-Research.</w:t>
      </w:r>
    </w:p>
    <w:bookmarkStart w:id="145" w:name="refs"/>
    <w:bookmarkStart w:id="106"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5">
        <w:r>
          <w:rPr>
            <w:rStyle w:val="Hyperlink"/>
          </w:rPr>
          <w:t xml:space="preserve">https://doi.org/10.3389/fgene.2022.886038</w:t>
        </w:r>
      </w:hyperlink>
    </w:p>
    <w:bookmarkEnd w:id="106"/>
    <w:bookmarkStart w:id="108"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7">
        <w:r>
          <w:rPr>
            <w:rStyle w:val="Hyperlink"/>
          </w:rPr>
          <w:t xml:space="preserve">https://doi.org/10.1136/jmedgenet-2015-103469</w:t>
        </w:r>
      </w:hyperlink>
    </w:p>
    <w:bookmarkEnd w:id="108"/>
    <w:bookmarkStart w:id="110"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9">
        <w:r>
          <w:rPr>
            <w:rStyle w:val="Hyperlink"/>
          </w:rPr>
          <w:t xml:space="preserve">https://doi.org/10.1159/000522226</w:t>
        </w:r>
      </w:hyperlink>
    </w:p>
    <w:bookmarkEnd w:id="110"/>
    <w:bookmarkStart w:id="112"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11">
        <w:r>
          <w:rPr>
            <w:rStyle w:val="Hyperlink"/>
          </w:rPr>
          <w:t xml:space="preserve">https://doi.org/10.1038/s41431-023-01296-x</w:t>
        </w:r>
      </w:hyperlink>
    </w:p>
    <w:bookmarkEnd w:id="112"/>
    <w:bookmarkStart w:id="114"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13">
        <w:r>
          <w:rPr>
            <w:rStyle w:val="Hyperlink"/>
          </w:rPr>
          <w:t xml:space="preserve">https://doi.org/10.1016/j.kint.2018.02.027</w:t>
        </w:r>
      </w:hyperlink>
    </w:p>
    <w:bookmarkEnd w:id="114"/>
    <w:bookmarkStart w:id="116"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5">
        <w:r>
          <w:rPr>
            <w:rStyle w:val="Hyperlink"/>
          </w:rPr>
          <w:t xml:space="preserve">https://doi.org/10.1002/ajmg.c.31995</w:t>
        </w:r>
      </w:hyperlink>
    </w:p>
    <w:bookmarkEnd w:id="116"/>
    <w:bookmarkStart w:id="118"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7">
        <w:r>
          <w:rPr>
            <w:rStyle w:val="Hyperlink"/>
          </w:rPr>
          <w:t xml:space="preserve">https://doi.org/10.1080/0886022X.2019.1655452</w:t>
        </w:r>
      </w:hyperlink>
    </w:p>
    <w:bookmarkEnd w:id="118"/>
    <w:bookmarkStart w:id="120"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9">
        <w:r>
          <w:rPr>
            <w:rStyle w:val="Hyperlink"/>
          </w:rPr>
          <w:t xml:space="preserve">https://doi.org/10.1016/j.xkme.2022.100435</w:t>
        </w:r>
      </w:hyperlink>
    </w:p>
    <w:bookmarkEnd w:id="120"/>
    <w:bookmarkStart w:id="122"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21">
        <w:r>
          <w:rPr>
            <w:rStyle w:val="Hyperlink"/>
          </w:rPr>
          <w:t xml:space="preserve">https://doi.org/10.1093/ndt/gfab019</w:t>
        </w:r>
      </w:hyperlink>
    </w:p>
    <w:bookmarkEnd w:id="122"/>
    <w:bookmarkStart w:id="124"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23">
        <w:r>
          <w:rPr>
            <w:rStyle w:val="Hyperlink"/>
          </w:rPr>
          <w:t xml:space="preserve">https://doi.org/10.1007/s40620-021-01236-2</w:t>
        </w:r>
      </w:hyperlink>
    </w:p>
    <w:bookmarkEnd w:id="124"/>
    <w:bookmarkStart w:id="126"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5">
        <w:r>
          <w:rPr>
            <w:rStyle w:val="Hyperlink"/>
          </w:rPr>
          <w:t xml:space="preserve">https://doi.org/10.1002/humu.24324</w:t>
        </w:r>
      </w:hyperlink>
    </w:p>
    <w:bookmarkEnd w:id="126"/>
    <w:bookmarkStart w:id="128"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7">
        <w:r>
          <w:rPr>
            <w:rStyle w:val="Hyperlink"/>
          </w:rPr>
          <w:t xml:space="preserve">https://doi.org/10.1016/j.kint.2022.03.019</w:t>
        </w:r>
      </w:hyperlink>
    </w:p>
    <w:bookmarkEnd w:id="128"/>
    <w:bookmarkStart w:id="130"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9">
        <w:r>
          <w:rPr>
            <w:rStyle w:val="Hyperlink"/>
          </w:rPr>
          <w:t xml:space="preserve">https://doi.org/10.1093/ndt/gfab218</w:t>
        </w:r>
      </w:hyperlink>
    </w:p>
    <w:bookmarkEnd w:id="130"/>
    <w:bookmarkStart w:id="132"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31">
        <w:r>
          <w:rPr>
            <w:rStyle w:val="Hyperlink"/>
          </w:rPr>
          <w:t xml:space="preserve">https://doi.org/10.1093/nar/gkaa1043</w:t>
        </w:r>
      </w:hyperlink>
    </w:p>
    <w:bookmarkEnd w:id="132"/>
    <w:bookmarkStart w:id="134"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33">
        <w:r>
          <w:rPr>
            <w:rStyle w:val="Hyperlink"/>
          </w:rPr>
          <w:t xml:space="preserve">https://doi.org/10.1038/s41588-019-0528-2</w:t>
        </w:r>
      </w:hyperlink>
    </w:p>
    <w:bookmarkEnd w:id="134"/>
    <w:bookmarkStart w:id="136"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5">
        <w:r>
          <w:rPr>
            <w:rStyle w:val="Hyperlink"/>
          </w:rPr>
          <w:t xml:space="preserve">https://doi.org/10.1159/000504869</w:t>
        </w:r>
      </w:hyperlink>
    </w:p>
    <w:bookmarkEnd w:id="136"/>
    <w:bookmarkStart w:id="138"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7">
        <w:r>
          <w:rPr>
            <w:rStyle w:val="Hyperlink"/>
          </w:rPr>
          <w:t xml:space="preserve">https://doi.org/10.1016/j.kint.2019.01.038</w:t>
        </w:r>
      </w:hyperlink>
    </w:p>
    <w:bookmarkEnd w:id="138"/>
    <w:bookmarkStart w:id="140"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9">
        <w:r>
          <w:rPr>
            <w:rStyle w:val="Hyperlink"/>
          </w:rPr>
          <w:t xml:space="preserve">https://doi.org/10.7326/M18-1241</w:t>
        </w:r>
      </w:hyperlink>
    </w:p>
    <w:bookmarkEnd w:id="140"/>
    <w:bookmarkStart w:id="142"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41">
        <w:r>
          <w:rPr>
            <w:rStyle w:val="Hyperlink"/>
          </w:rPr>
          <w:t xml:space="preserve">https://doi.org/10.1038/s41525-021-00184-x</w:t>
        </w:r>
      </w:hyperlink>
    </w:p>
    <w:bookmarkEnd w:id="142"/>
    <w:bookmarkStart w:id="144"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43">
        <w:r>
          <w:rPr>
            <w:rStyle w:val="Hyperlink"/>
          </w:rPr>
          <w:t xml:space="preserve">https://doi.org/10.1093/nar/gkt441</w:t>
        </w:r>
      </w:hyperlink>
    </w:p>
    <w:bookmarkEnd w:id="144"/>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z"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5" Target="https://doi.org/10.1002/ajmg.c.31995" TargetMode="External" /><Relationship Type="http://schemas.openxmlformats.org/officeDocument/2006/relationships/hyperlink" Id="rId125" Target="https://doi.org/10.1002/humu.24324" TargetMode="External" /><Relationship Type="http://schemas.openxmlformats.org/officeDocument/2006/relationships/hyperlink" Id="rId123" Target="https://doi.org/10.1007/s40620-021-01236-2" TargetMode="External" /><Relationship Type="http://schemas.openxmlformats.org/officeDocument/2006/relationships/hyperlink" Id="rId113" Target="https://doi.org/10.1016/j.kint.2018.02.027" TargetMode="External" /><Relationship Type="http://schemas.openxmlformats.org/officeDocument/2006/relationships/hyperlink" Id="rId137" Target="https://doi.org/10.1016/j.kint.2019.01.038" TargetMode="External" /><Relationship Type="http://schemas.openxmlformats.org/officeDocument/2006/relationships/hyperlink" Id="rId127" Target="https://doi.org/10.1016/j.kint.2022.03.019" TargetMode="External" /><Relationship Type="http://schemas.openxmlformats.org/officeDocument/2006/relationships/hyperlink" Id="rId119" Target="https://doi.org/10.1016/j.xkme.2022.100435" TargetMode="External" /><Relationship Type="http://schemas.openxmlformats.org/officeDocument/2006/relationships/hyperlink" Id="rId111" Target="https://doi.org/10.1038/s41431-023-01296-x" TargetMode="External" /><Relationship Type="http://schemas.openxmlformats.org/officeDocument/2006/relationships/hyperlink" Id="rId141" Target="https://doi.org/10.1038/s41525-021-00184-x" TargetMode="External" /><Relationship Type="http://schemas.openxmlformats.org/officeDocument/2006/relationships/hyperlink" Id="rId133" Target="https://doi.org/10.1038/s41588-019-0528-2" TargetMode="External" /><Relationship Type="http://schemas.openxmlformats.org/officeDocument/2006/relationships/hyperlink" Id="rId117" Target="https://doi.org/10.1080/0886022X.2019.1655452" TargetMode="External" /><Relationship Type="http://schemas.openxmlformats.org/officeDocument/2006/relationships/hyperlink" Id="rId131" Target="https://doi.org/10.1093/nar/gkaa1043" TargetMode="External" /><Relationship Type="http://schemas.openxmlformats.org/officeDocument/2006/relationships/hyperlink" Id="rId143" Target="https://doi.org/10.1093/nar/gkt441" TargetMode="External" /><Relationship Type="http://schemas.openxmlformats.org/officeDocument/2006/relationships/hyperlink" Id="rId121" Target="https://doi.org/10.1093/ndt/gfab019" TargetMode="External" /><Relationship Type="http://schemas.openxmlformats.org/officeDocument/2006/relationships/hyperlink" Id="rId129" Target="https://doi.org/10.1093/ndt/gfab218" TargetMode="External" /><Relationship Type="http://schemas.openxmlformats.org/officeDocument/2006/relationships/hyperlink" Id="rId107" Target="https://doi.org/10.1136/jmedgenet-2015-103469" TargetMode="External" /><Relationship Type="http://schemas.openxmlformats.org/officeDocument/2006/relationships/hyperlink" Id="rId135" Target="https://doi.org/10.1159/000504869" TargetMode="External" /><Relationship Type="http://schemas.openxmlformats.org/officeDocument/2006/relationships/hyperlink" Id="rId109" Target="https://doi.org/10.1159/000522226" TargetMode="External" /><Relationship Type="http://schemas.openxmlformats.org/officeDocument/2006/relationships/hyperlink" Id="rId105" Target="https://doi.org/10.3389/fgene.2022.886038" TargetMode="External" /><Relationship Type="http://schemas.openxmlformats.org/officeDocument/2006/relationships/hyperlink" Id="rId139"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5" Target="https://doi.org/10.1002/ajmg.c.31995" TargetMode="External" /><Relationship Type="http://schemas.openxmlformats.org/officeDocument/2006/relationships/hyperlink" Id="rId125" Target="https://doi.org/10.1002/humu.24324" TargetMode="External" /><Relationship Type="http://schemas.openxmlformats.org/officeDocument/2006/relationships/hyperlink" Id="rId123" Target="https://doi.org/10.1007/s40620-021-01236-2" TargetMode="External" /><Relationship Type="http://schemas.openxmlformats.org/officeDocument/2006/relationships/hyperlink" Id="rId113" Target="https://doi.org/10.1016/j.kint.2018.02.027" TargetMode="External" /><Relationship Type="http://schemas.openxmlformats.org/officeDocument/2006/relationships/hyperlink" Id="rId137" Target="https://doi.org/10.1016/j.kint.2019.01.038" TargetMode="External" /><Relationship Type="http://schemas.openxmlformats.org/officeDocument/2006/relationships/hyperlink" Id="rId127" Target="https://doi.org/10.1016/j.kint.2022.03.019" TargetMode="External" /><Relationship Type="http://schemas.openxmlformats.org/officeDocument/2006/relationships/hyperlink" Id="rId119" Target="https://doi.org/10.1016/j.xkme.2022.100435" TargetMode="External" /><Relationship Type="http://schemas.openxmlformats.org/officeDocument/2006/relationships/hyperlink" Id="rId111" Target="https://doi.org/10.1038/s41431-023-01296-x" TargetMode="External" /><Relationship Type="http://schemas.openxmlformats.org/officeDocument/2006/relationships/hyperlink" Id="rId141" Target="https://doi.org/10.1038/s41525-021-00184-x" TargetMode="External" /><Relationship Type="http://schemas.openxmlformats.org/officeDocument/2006/relationships/hyperlink" Id="rId133" Target="https://doi.org/10.1038/s41588-019-0528-2" TargetMode="External" /><Relationship Type="http://schemas.openxmlformats.org/officeDocument/2006/relationships/hyperlink" Id="rId117" Target="https://doi.org/10.1080/0886022X.2019.1655452" TargetMode="External" /><Relationship Type="http://schemas.openxmlformats.org/officeDocument/2006/relationships/hyperlink" Id="rId131" Target="https://doi.org/10.1093/nar/gkaa1043" TargetMode="External" /><Relationship Type="http://schemas.openxmlformats.org/officeDocument/2006/relationships/hyperlink" Id="rId143" Target="https://doi.org/10.1093/nar/gkt441" TargetMode="External" /><Relationship Type="http://schemas.openxmlformats.org/officeDocument/2006/relationships/hyperlink" Id="rId121" Target="https://doi.org/10.1093/ndt/gfab019" TargetMode="External" /><Relationship Type="http://schemas.openxmlformats.org/officeDocument/2006/relationships/hyperlink" Id="rId129" Target="https://doi.org/10.1093/ndt/gfab218" TargetMode="External" /><Relationship Type="http://schemas.openxmlformats.org/officeDocument/2006/relationships/hyperlink" Id="rId107" Target="https://doi.org/10.1136/jmedgenet-2015-103469" TargetMode="External" /><Relationship Type="http://schemas.openxmlformats.org/officeDocument/2006/relationships/hyperlink" Id="rId135" Target="https://doi.org/10.1159/000504869" TargetMode="External" /><Relationship Type="http://schemas.openxmlformats.org/officeDocument/2006/relationships/hyperlink" Id="rId109" Target="https://doi.org/10.1159/000522226" TargetMode="External" /><Relationship Type="http://schemas.openxmlformats.org/officeDocument/2006/relationships/hyperlink" Id="rId105" Target="https://doi.org/10.3389/fgene.2022.886038" TargetMode="External" /><Relationship Type="http://schemas.openxmlformats.org/officeDocument/2006/relationships/hyperlink" Id="rId139"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2023-12-11T14:47:25Z</dcterms:created>
  <dcterms:modified xsi:type="dcterms:W3CDTF">2023-12-11T14:47:25Z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2023-12-11</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