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2023-12-05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3777309"/>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3777309"/>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3025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534, (2) 822, (3) 956, (4) 789, and (5) 2158</w:t>
      </w:r>
      <w:r>
        <w:br/>
      </w:r>
      <w:r>
        <w:t xml:space="preserve">Notably,</w:t>
      </w:r>
      <w:r>
        <w:t xml:space="preserve"> </w:t>
      </w:r>
      <w:r>
        <w:rPr>
          <w:bCs/>
          <w:b/>
        </w:rPr>
        <w:t xml:space="preserve">598</w:t>
      </w:r>
      <w:r>
        <w:t xml:space="preserve"> </w:t>
      </w:r>
      <w:r>
        <w:t xml:space="preserve">genes (19.8%) of the</w:t>
      </w:r>
      <w:r>
        <w:t xml:space="preserve"> </w:t>
      </w:r>
      <w:r>
        <w:rPr>
          <w:bCs/>
          <w:b/>
        </w:rPr>
        <w:t xml:space="preserve">total 3025</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526</w:t>
      </w:r>
      <w:r>
        <w:t xml:space="preserve"> </w:t>
      </w:r>
      <w:r>
        <w:t xml:space="preserve">(88.0%) are present in at least one, and</w:t>
      </w:r>
      <w:r>
        <w:t xml:space="preserve"> </w:t>
      </w:r>
      <w:r>
        <w:rPr>
          <w:bCs/>
          <w:b/>
        </w:rPr>
        <w:t xml:space="preserve">56</w:t>
      </w:r>
      <w:r>
        <w:t xml:space="preserve"> </w:t>
      </w:r>
      <w:r>
        <w:t xml:space="preserve">(9.4%)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1992466"/>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1992466"/>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351934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5334000" cy="351934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351934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5334000" cy="351934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351934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5334000" cy="351934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351934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5334000" cy="351934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351934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5334000" cy="351934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5080000" cy="38100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5080000" cy="38100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5080000" cy="38100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5080000" cy="38100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5080000" cy="38100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502417"/>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502417"/>
                    </a:xfrm>
                    <a:prstGeom prst="rect">
                      <a:avLst/>
                    </a:prstGeom>
                    <a:noFill/>
                    <a:ln w="9525">
                      <a:noFill/>
                      <a:headEnd/>
                      <a:tailEnd/>
                    </a:ln>
                  </pic:spPr>
                </pic:pic>
              </a:graphicData>
            </a:graphic>
          </wp:inline>
        </w:drawing>
      </w:r>
    </w:p>
    <w:bookmarkEnd w:id="96"/>
    <w:bookmarkEnd w:id="97"/>
    <w:bookmarkStart w:id="143" w:name="additional-analyses"/>
    <w:p>
      <w:pPr>
        <w:pStyle w:val="Heading1"/>
      </w:pPr>
      <w:r>
        <w:rPr>
          <w:rStyle w:val="SectionNumber"/>
        </w:rPr>
        <w:t xml:space="preserve">4</w:t>
      </w:r>
      <w:r>
        <w:tab/>
      </w:r>
      <w:r>
        <w:t xml:space="preserve">Additional analyses</w:t>
      </w:r>
    </w:p>
    <w:bookmarkStart w:id="142"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5080000" cy="38100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5080000" cy="3810000"/>
                    </a:xfrm>
                    <a:prstGeom prst="rect">
                      <a:avLst/>
                    </a:prstGeom>
                    <a:noFill/>
                    <a:ln w="9525">
                      <a:noFill/>
                      <a:headEnd/>
                      <a:tailEnd/>
                    </a:ln>
                  </pic:spPr>
                </pic:pic>
              </a:graphicData>
            </a:graphic>
          </wp:inline>
        </w:drawing>
      </w:r>
    </w:p>
    <w:bookmarkStart w:id="141" w:name="refs"/>
    <w:bookmarkStart w:id="102"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1">
        <w:r>
          <w:rPr>
            <w:rStyle w:val="Hyperlink"/>
          </w:rPr>
          <w:t xml:space="preserve">https://doi.org/10.3389/fgene.2022.886038</w:t>
        </w:r>
      </w:hyperlink>
    </w:p>
    <w:bookmarkEnd w:id="102"/>
    <w:bookmarkStart w:id="104"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3">
        <w:r>
          <w:rPr>
            <w:rStyle w:val="Hyperlink"/>
          </w:rPr>
          <w:t xml:space="preserve">https://doi.org/10.1136/jmedgenet-2015-103469</w:t>
        </w:r>
      </w:hyperlink>
    </w:p>
    <w:bookmarkEnd w:id="104"/>
    <w:bookmarkStart w:id="106"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5">
        <w:r>
          <w:rPr>
            <w:rStyle w:val="Hyperlink"/>
          </w:rPr>
          <w:t xml:space="preserve">https://doi.org/10.1159/000522226</w:t>
        </w:r>
      </w:hyperlink>
    </w:p>
    <w:bookmarkEnd w:id="106"/>
    <w:bookmarkStart w:id="108"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07">
        <w:r>
          <w:rPr>
            <w:rStyle w:val="Hyperlink"/>
          </w:rPr>
          <w:t xml:space="preserve">https://doi.org/10.1038/s41431-023-01296-x</w:t>
        </w:r>
      </w:hyperlink>
    </w:p>
    <w:bookmarkEnd w:id="108"/>
    <w:bookmarkStart w:id="110"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09">
        <w:r>
          <w:rPr>
            <w:rStyle w:val="Hyperlink"/>
          </w:rPr>
          <w:t xml:space="preserve">https://doi.org/10.1016/j.kint.2018.02.027</w:t>
        </w:r>
      </w:hyperlink>
    </w:p>
    <w:bookmarkEnd w:id="110"/>
    <w:bookmarkStart w:id="112"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1">
        <w:r>
          <w:rPr>
            <w:rStyle w:val="Hyperlink"/>
          </w:rPr>
          <w:t xml:space="preserve">https://doi.org/10.1002/ajmg.c.31995</w:t>
        </w:r>
      </w:hyperlink>
    </w:p>
    <w:bookmarkEnd w:id="112"/>
    <w:bookmarkStart w:id="114"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3">
        <w:r>
          <w:rPr>
            <w:rStyle w:val="Hyperlink"/>
          </w:rPr>
          <w:t xml:space="preserve">https://doi.org/10.1080/0886022X.2019.1655452</w:t>
        </w:r>
      </w:hyperlink>
    </w:p>
    <w:bookmarkEnd w:id="114"/>
    <w:bookmarkStart w:id="116"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5">
        <w:r>
          <w:rPr>
            <w:rStyle w:val="Hyperlink"/>
          </w:rPr>
          <w:t xml:space="preserve">https://doi.org/10.1016/j.xkme.2022.100435</w:t>
        </w:r>
      </w:hyperlink>
    </w:p>
    <w:bookmarkEnd w:id="116"/>
    <w:bookmarkStart w:id="118"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17">
        <w:r>
          <w:rPr>
            <w:rStyle w:val="Hyperlink"/>
          </w:rPr>
          <w:t xml:space="preserve">https://doi.org/10.1093/ndt/gfab019</w:t>
        </w:r>
      </w:hyperlink>
    </w:p>
    <w:bookmarkEnd w:id="118"/>
    <w:bookmarkStart w:id="120"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19">
        <w:r>
          <w:rPr>
            <w:rStyle w:val="Hyperlink"/>
          </w:rPr>
          <w:t xml:space="preserve">https://doi.org/10.1007/s40620-021-01236-2</w:t>
        </w:r>
      </w:hyperlink>
    </w:p>
    <w:bookmarkEnd w:id="120"/>
    <w:bookmarkStart w:id="122"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1">
        <w:r>
          <w:rPr>
            <w:rStyle w:val="Hyperlink"/>
          </w:rPr>
          <w:t xml:space="preserve">https://doi.org/10.1002/humu.24324</w:t>
        </w:r>
      </w:hyperlink>
    </w:p>
    <w:bookmarkEnd w:id="122"/>
    <w:bookmarkStart w:id="124"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3">
        <w:r>
          <w:rPr>
            <w:rStyle w:val="Hyperlink"/>
          </w:rPr>
          <w:t xml:space="preserve">https://doi.org/10.1016/j.kint.2022.03.019</w:t>
        </w:r>
      </w:hyperlink>
    </w:p>
    <w:bookmarkEnd w:id="124"/>
    <w:bookmarkStart w:id="126"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5">
        <w:r>
          <w:rPr>
            <w:rStyle w:val="Hyperlink"/>
          </w:rPr>
          <w:t xml:space="preserve">https://doi.org/10.1093/ndt/gfab218</w:t>
        </w:r>
      </w:hyperlink>
    </w:p>
    <w:bookmarkEnd w:id="126"/>
    <w:bookmarkStart w:id="128"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27">
        <w:r>
          <w:rPr>
            <w:rStyle w:val="Hyperlink"/>
          </w:rPr>
          <w:t xml:space="preserve">https://doi.org/10.1093/nar/gkaa1043</w:t>
        </w:r>
      </w:hyperlink>
    </w:p>
    <w:bookmarkEnd w:id="128"/>
    <w:bookmarkStart w:id="130"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29">
        <w:r>
          <w:rPr>
            <w:rStyle w:val="Hyperlink"/>
          </w:rPr>
          <w:t xml:space="preserve">https://doi.org/10.1038/s41588-019-0528-2</w:t>
        </w:r>
      </w:hyperlink>
    </w:p>
    <w:bookmarkEnd w:id="130"/>
    <w:bookmarkStart w:id="132"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1">
        <w:r>
          <w:rPr>
            <w:rStyle w:val="Hyperlink"/>
          </w:rPr>
          <w:t xml:space="preserve">https://doi.org/10.1159/000504869</w:t>
        </w:r>
      </w:hyperlink>
    </w:p>
    <w:bookmarkEnd w:id="132"/>
    <w:bookmarkStart w:id="134"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3">
        <w:r>
          <w:rPr>
            <w:rStyle w:val="Hyperlink"/>
          </w:rPr>
          <w:t xml:space="preserve">https://doi.org/10.1016/j.kint.2019.01.038</w:t>
        </w:r>
      </w:hyperlink>
    </w:p>
    <w:bookmarkEnd w:id="134"/>
    <w:bookmarkStart w:id="136"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5">
        <w:r>
          <w:rPr>
            <w:rStyle w:val="Hyperlink"/>
          </w:rPr>
          <w:t xml:space="preserve">https://doi.org/10.7326/M18-1241</w:t>
        </w:r>
      </w:hyperlink>
    </w:p>
    <w:bookmarkEnd w:id="136"/>
    <w:bookmarkStart w:id="138"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37">
        <w:r>
          <w:rPr>
            <w:rStyle w:val="Hyperlink"/>
          </w:rPr>
          <w:t xml:space="preserve">https://doi.org/10.1038/s41525-021-00184-x</w:t>
        </w:r>
      </w:hyperlink>
    </w:p>
    <w:bookmarkEnd w:id="138"/>
    <w:bookmarkStart w:id="140"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39">
        <w:r>
          <w:rPr>
            <w:rStyle w:val="Hyperlink"/>
          </w:rPr>
          <w:t xml:space="preserve">https://doi.org/10.1093/nar/gkt441</w:t>
        </w:r>
      </w:hyperlink>
    </w:p>
    <w:bookmarkEnd w:id="140"/>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z"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2023-12-05T10:30:09Z</dcterms:created>
  <dcterms:modified xsi:type="dcterms:W3CDTF">2023-12-05T10:30:09Z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2023-12-05</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