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1DF" w:rsidRPr="002E01DF" w:rsidRDefault="002E01DF" w:rsidP="002E01D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</w:rPr>
      </w:pPr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</w:rPr>
        <w:t>1.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Загальні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вимоги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до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технічних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засобів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gram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АСУТП 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інформаційні</w:t>
      </w:r>
      <w:proofErr w:type="spellEnd"/>
      <w:proofErr w:type="gram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,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організаційні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,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математичні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,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технічні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</w:rPr>
        <w:t>,</w:t>
      </w:r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економічні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</w:rPr>
        <w:t>)</w:t>
      </w:r>
    </w:p>
    <w:p w:rsidR="005C43ED" w:rsidRPr="005C43ED" w:rsidRDefault="005C43ED" w:rsidP="005C43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</w:pPr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Функціональна частина АСК включає систему моделей планово-економічних і управлінських задач, забезпечувальна частина — інформаційну і технічну бази, математичне забезпечення, економіко-організаційну базу та інше.</w:t>
      </w:r>
    </w:p>
    <w:p w:rsidR="005C43ED" w:rsidRPr="005C43ED" w:rsidRDefault="005C43ED" w:rsidP="005C43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</w:pPr>
      <w:r w:rsidRPr="005C43ED">
        <w:rPr>
          <w:rFonts w:ascii="Arial" w:eastAsia="Times New Roman" w:hAnsi="Arial" w:cs="Arial"/>
          <w:i/>
          <w:iCs/>
          <w:color w:val="202122"/>
          <w:sz w:val="21"/>
          <w:szCs w:val="21"/>
          <w:lang w:val="uk-UA" w:eastAsia="uk-UA"/>
        </w:rPr>
        <w:t>Інформаційна база</w:t>
      </w:r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АСК — це розміщена на машинних </w:t>
      </w:r>
      <w:hyperlink r:id="rId4" w:tooltip="Носій інформації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носіях інформації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сукупність всіх </w:t>
      </w:r>
      <w:hyperlink r:id="rId5" w:tooltip="Масив (структура даних)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масивів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</w:t>
      </w:r>
      <w:hyperlink r:id="rId6" w:tooltip="Дані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даних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, необхідних для автоматизації керування об'єктом або процесом.</w:t>
      </w:r>
    </w:p>
    <w:p w:rsidR="005C43ED" w:rsidRPr="005C43ED" w:rsidRDefault="005C43ED" w:rsidP="005C43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</w:pPr>
      <w:r w:rsidRPr="005C43ED">
        <w:rPr>
          <w:rFonts w:ascii="Arial" w:eastAsia="Times New Roman" w:hAnsi="Arial" w:cs="Arial"/>
          <w:i/>
          <w:iCs/>
          <w:color w:val="202122"/>
          <w:sz w:val="21"/>
          <w:szCs w:val="21"/>
          <w:lang w:val="uk-UA" w:eastAsia="uk-UA"/>
        </w:rPr>
        <w:t>Технічна база</w:t>
      </w:r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— комплекс технічних засобів збору, передачі, обробки, накопичення і видачі даних, а також пристроїв, що безпосередньо впливають на об'єкти управління. </w:t>
      </w:r>
      <w:hyperlink r:id="rId7" w:tooltip="Математичне забезпечення (ще не написана)" w:history="1">
        <w:r w:rsidRPr="005C43ED">
          <w:rPr>
            <w:rFonts w:ascii="Arial" w:eastAsia="Times New Roman" w:hAnsi="Arial" w:cs="Arial"/>
            <w:color w:val="DD3333"/>
            <w:sz w:val="21"/>
            <w:szCs w:val="21"/>
            <w:lang w:val="uk-UA" w:eastAsia="uk-UA"/>
          </w:rPr>
          <w:t>Математичне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(</w:t>
      </w:r>
      <w:hyperlink r:id="rId8" w:tooltip="Програмне забезпечення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програмне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) забезпечення АСК поділяється на </w:t>
      </w:r>
      <w:hyperlink r:id="rId9" w:tooltip="Системне забезпечення (ще не написана)" w:history="1">
        <w:r w:rsidRPr="005C43ED">
          <w:rPr>
            <w:rFonts w:ascii="Arial" w:eastAsia="Times New Roman" w:hAnsi="Arial" w:cs="Arial"/>
            <w:color w:val="DD3333"/>
            <w:sz w:val="21"/>
            <w:szCs w:val="21"/>
            <w:lang w:val="uk-UA" w:eastAsia="uk-UA"/>
          </w:rPr>
          <w:t>системне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і </w:t>
      </w:r>
      <w:hyperlink r:id="rId10" w:tooltip="Спеціальне забезпечення (ще не написана)" w:history="1">
        <w:r w:rsidRPr="005C43ED">
          <w:rPr>
            <w:rFonts w:ascii="Arial" w:eastAsia="Times New Roman" w:hAnsi="Arial" w:cs="Arial"/>
            <w:color w:val="DD3333"/>
            <w:sz w:val="21"/>
            <w:szCs w:val="21"/>
            <w:lang w:val="uk-UA" w:eastAsia="uk-UA"/>
          </w:rPr>
          <w:t>спеціальне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. Перше включає </w:t>
      </w:r>
      <w:hyperlink r:id="rId11" w:tooltip="Операційна система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операційні системи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(ОС), призначені для управління роботою пристроїв </w:t>
      </w:r>
      <w:hyperlink r:id="rId12" w:tooltip="Обчислювальна машина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обчислювальних машини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, організації черговості виконання обчислених робіт, контролю й </w:t>
      </w:r>
      <w:hyperlink r:id="rId13" w:tooltip="Управління процесом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управління процесом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 </w:t>
      </w:r>
      <w:hyperlink r:id="rId14" w:tooltip="Обробка даних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обробки даних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, а також для автоматизації роботи </w:t>
      </w:r>
      <w:hyperlink r:id="rId15" w:tooltip="Програміст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програмістів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. За допомогою операційних систем здійснюється також звернення до ЕОМ з віддалених абонентських пунктів.</w:t>
      </w:r>
    </w:p>
    <w:p w:rsidR="005C43ED" w:rsidRPr="005C43ED" w:rsidRDefault="005C43ED" w:rsidP="005C43E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uk-UA" w:eastAsia="uk-UA"/>
        </w:rPr>
      </w:pPr>
      <w:r w:rsidRPr="005C43ED">
        <w:rPr>
          <w:rFonts w:ascii="Arial" w:eastAsia="Times New Roman" w:hAnsi="Arial" w:cs="Arial"/>
          <w:b/>
          <w:bCs/>
          <w:color w:val="000000"/>
          <w:sz w:val="29"/>
          <w:szCs w:val="29"/>
          <w:lang w:val="uk-UA" w:eastAsia="uk-UA"/>
        </w:rPr>
        <w:t>Програмне забезпечення</w:t>
      </w:r>
      <w:bookmarkStart w:id="0" w:name="_GoBack"/>
      <w:bookmarkEnd w:id="0"/>
    </w:p>
    <w:p w:rsidR="005C43ED" w:rsidRPr="005C43ED" w:rsidRDefault="005C43ED" w:rsidP="005C43E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</w:pPr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Спеціальне математичне забезпечення включає пакети </w:t>
      </w:r>
      <w:hyperlink r:id="rId16" w:tooltip="Прикладна програма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прикладних програм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, що здійснюють організацію й обробку даних з метою реалізації необхідних функцій управління в рамках певних економіко-математичних та організаційних </w:t>
      </w:r>
      <w:hyperlink r:id="rId17" w:tooltip="Модель" w:history="1">
        <w:r w:rsidRPr="005C43ED">
          <w:rPr>
            <w:rFonts w:ascii="Arial" w:eastAsia="Times New Roman" w:hAnsi="Arial" w:cs="Arial"/>
            <w:color w:val="0645AD"/>
            <w:sz w:val="21"/>
            <w:szCs w:val="21"/>
            <w:lang w:val="uk-UA" w:eastAsia="uk-UA"/>
          </w:rPr>
          <w:t>моделей</w:t>
        </w:r>
      </w:hyperlink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 xml:space="preserve">. Програмне забезпечення АСУ (ПЗ) містить сукупність програм на носіях, даних і програмних документів, яка призначена для </w:t>
      </w:r>
      <w:proofErr w:type="spellStart"/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відлагодження</w:t>
      </w:r>
      <w:proofErr w:type="spellEnd"/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 xml:space="preserve">, функціонування й перевірки </w:t>
      </w:r>
      <w:proofErr w:type="spellStart"/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роботоздатності</w:t>
      </w:r>
      <w:proofErr w:type="spellEnd"/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 xml:space="preserve"> АСУ. До складу ПЗ входять загально-системні і спеціальні програми, а також </w:t>
      </w:r>
      <w:proofErr w:type="spellStart"/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інструктивно</w:t>
      </w:r>
      <w:proofErr w:type="spellEnd"/>
      <w:r w:rsidRPr="005C43ED">
        <w:rPr>
          <w:rFonts w:ascii="Arial" w:eastAsia="Times New Roman" w:hAnsi="Arial" w:cs="Arial"/>
          <w:color w:val="202122"/>
          <w:sz w:val="21"/>
          <w:szCs w:val="21"/>
          <w:lang w:val="uk-UA" w:eastAsia="uk-UA"/>
        </w:rPr>
        <w:t>-методичні матеріали щодо застосування програмного забезпечення і персонал, який розробляє його й організує супровід на весь період життєвого циклу АСУ. До системного ПЗ належать програми, які розраховані на широкий загал користувачів і призначені для організації обчислювального процесу та розв'язування задач з обробки даних, які зустрічаються найчастіше. Такі програми дають змогу розширювати функціональні можливості ЕОМ, автоматизувати планування черги обчислювальних робіт, контроль і управління процесом обробки даних, а також автоматизувати працю програмістів. Спеціальне ПЗ — це сукупність програм, які розроблюються для конкретної АСУ. Воно містить пакети прикладних програм (ППП), які виконують організацію даних і їх обробку при розв'язуванні функціональних задач АСУ.</w:t>
      </w:r>
    </w:p>
    <w:p w:rsidR="002E01DF" w:rsidRPr="005C43ED" w:rsidRDefault="002E01DF" w:rsidP="002E01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uk-UA"/>
        </w:rPr>
      </w:pPr>
    </w:p>
    <w:p w:rsidR="002E01DF" w:rsidRPr="002E01DF" w:rsidRDefault="002E01DF" w:rsidP="002E01D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val="ru-RU"/>
        </w:rPr>
      </w:pPr>
    </w:p>
    <w:p w:rsidR="002E01DF" w:rsidRPr="002E01DF" w:rsidRDefault="002E01DF" w:rsidP="002E01D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</w:pPr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2.</w:t>
      </w:r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</w:rPr>
        <w:t> 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Загальні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принципи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побудови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комплексу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технічних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засобів</w:t>
      </w:r>
      <w:proofErr w:type="spellEnd"/>
      <w:r w:rsidRPr="002E01DF">
        <w:rPr>
          <w:rFonts w:ascii="Times New Roman" w:eastAsia="Times New Roman" w:hAnsi="Times New Roman" w:cs="Times New Roman"/>
          <w:b/>
          <w:color w:val="000000" w:themeColor="text1"/>
          <w:spacing w:val="3"/>
          <w:sz w:val="24"/>
          <w:szCs w:val="24"/>
          <w:lang w:val="ru-RU"/>
        </w:rPr>
        <w:t>.</w:t>
      </w:r>
    </w:p>
    <w:p w:rsidR="001F4EBE" w:rsidRDefault="002E01DF" w:rsidP="002E01DF">
      <w:p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Сучасна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АСУТП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являє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собою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багаторівневу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людино-машинну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систему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Створення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АСУ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складними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технологічними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процесами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здійснюється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використанням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автоматичних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інформаційних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систем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збирання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даних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обчислювальних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комплексів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які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постійно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в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міру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еволюції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технічних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засобів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програмного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забезпечення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вдосконалюються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Безперервну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часі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картину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розвитку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АСУТП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можна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поділити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на три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етапи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зумовлені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появою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якісно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нових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наукових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ідей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технічних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засобів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. У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ході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історії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змінюється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характер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об'єктів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методів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засобів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автоматизації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й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інших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компонентів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становлять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зміст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сучасної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системи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>.</w:t>
      </w:r>
    </w:p>
    <w:p w:rsidR="002E01DF" w:rsidRDefault="002E01DF" w:rsidP="002E01DF">
      <w:pPr>
        <w:jc w:val="center"/>
        <w:rPr>
          <w:rFonts w:ascii="Times New Roman" w:hAnsi="Times New Roman" w:cs="Times New Roman"/>
          <w:color w:val="000000" w:themeColor="text1"/>
          <w:sz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31AE0E" wp14:editId="63508305">
            <wp:extent cx="3419231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6528" t="40020" r="20139" b="31077"/>
                    <a:stretch/>
                  </pic:blipFill>
                  <pic:spPr bwMode="auto">
                    <a:xfrm>
                      <a:off x="0" y="0"/>
                      <a:ext cx="3433163" cy="16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1DF" w:rsidRDefault="002E01DF" w:rsidP="00F25CAB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2E01DF">
        <w:rPr>
          <w:rFonts w:ascii="Times New Roman" w:hAnsi="Times New Roman" w:cs="Times New Roman"/>
          <w:sz w:val="24"/>
          <w:lang w:val="ru-RU"/>
        </w:rPr>
        <w:t xml:space="preserve">Перший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етап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відбиває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впровадження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систем автоматичного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регулювання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(</w:t>
      </w:r>
      <w:r w:rsidRPr="002E01DF">
        <w:rPr>
          <w:rFonts w:ascii="Times New Roman" w:hAnsi="Times New Roman" w:cs="Times New Roman"/>
          <w:sz w:val="24"/>
        </w:rPr>
        <w:t>CAP</w:t>
      </w:r>
      <w:r w:rsidRPr="002E01DF">
        <w:rPr>
          <w:rFonts w:ascii="Times New Roman" w:hAnsi="Times New Roman" w:cs="Times New Roman"/>
          <w:sz w:val="24"/>
          <w:lang w:val="ru-RU"/>
        </w:rPr>
        <w:t xml:space="preserve">).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Об'єктами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цьому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етапі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є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окремі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технологічні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змінні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(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параметри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), установки,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агрегати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(рис. 1.1).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Рішення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завдань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стабілізації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програмного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спостереження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переходить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людини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до </w:t>
      </w:r>
      <w:r w:rsidRPr="002E01DF">
        <w:rPr>
          <w:rFonts w:ascii="Times New Roman" w:hAnsi="Times New Roman" w:cs="Times New Roman"/>
          <w:sz w:val="24"/>
        </w:rPr>
        <w:t>CAP</w:t>
      </w:r>
      <w:r w:rsidRPr="002E01DF">
        <w:rPr>
          <w:rFonts w:ascii="Times New Roman" w:hAnsi="Times New Roman" w:cs="Times New Roman"/>
          <w:sz w:val="24"/>
          <w:lang w:val="ru-RU"/>
        </w:rPr>
        <w:t xml:space="preserve">. У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людини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lastRenderedPageBreak/>
        <w:t>з'являються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функції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розрахунку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завдання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й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параметрів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настроювання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регуляторів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. </w:t>
      </w:r>
      <w:r w:rsidRPr="002E01DF">
        <w:rPr>
          <w:rFonts w:ascii="Times New Roman" w:hAnsi="Times New Roman" w:cs="Times New Roman"/>
          <w:sz w:val="24"/>
        </w:rPr>
        <w:t>CAP</w:t>
      </w:r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реалізуються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як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окремі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локальні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регулятори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пов'язані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об'єктом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через датчики та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виконавчі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механізми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Зв'язок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з оператором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відбувається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через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вбудовані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регулятори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засоби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індикації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2E01DF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lang w:val="ru-RU"/>
        </w:rPr>
        <w:t>.</w:t>
      </w:r>
    </w:p>
    <w:p w:rsidR="002E01DF" w:rsidRDefault="002E01DF" w:rsidP="00F25CA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Другий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етап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автоматизація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технологічних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Об'єктом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стає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розосереджена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просторі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система (рис. 1.2). За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систем автоматичного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(САУ)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реалізуються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усе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складніші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закони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вирішуються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оптимального й адаптивного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, проводиться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ідентифікація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об'єкта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й стану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системи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. Характерною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рисою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етапу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впровадження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систем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телемеханіки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технологічними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процесами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. Людина все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віддаляється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об'єкта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управління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між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об'єктом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і диспетчером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вибудовується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цілий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ряд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вимірювальних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систем,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виконавчих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механізмів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засобів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телемеханіки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, мнемосхем та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інших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засобів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відображення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01DF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2E01DF">
        <w:rPr>
          <w:rFonts w:ascii="Times New Roman" w:hAnsi="Times New Roman" w:cs="Times New Roman"/>
          <w:sz w:val="24"/>
          <w:szCs w:val="24"/>
          <w:lang w:val="ru-RU"/>
        </w:rPr>
        <w:t xml:space="preserve"> (ЗВІ).</w:t>
      </w:r>
    </w:p>
    <w:p w:rsidR="00F25CAB" w:rsidRDefault="00F25CAB" w:rsidP="00F25CA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FEC7F73" wp14:editId="2E17D473">
            <wp:extent cx="3271211" cy="25908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7083" t="29397" r="18195" b="21690"/>
                    <a:stretch/>
                  </pic:blipFill>
                  <pic:spPr bwMode="auto">
                    <a:xfrm>
                      <a:off x="0" y="0"/>
                      <a:ext cx="3290398" cy="260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CAB" w:rsidRPr="00F25CAB" w:rsidRDefault="00F25CAB" w:rsidP="00F25CAB">
      <w:p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Третій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етап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—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автоматизація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систем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технологічними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процесами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-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характеризується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впровадженням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технологічними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процесами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обчислювальної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техніки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Спочатку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-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застосування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мікропроцесорів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використання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окремих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фазах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обчислювальних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систем,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потім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-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активний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розвиток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людино-машинних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систем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інженерної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психології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методів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і моделей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дослідження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операцій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і,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нарешті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-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диспетчерське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основі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автоматичних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інформаційних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систем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збирання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даних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сучасних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обчислювальних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комплексів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>.</w:t>
      </w:r>
    </w:p>
    <w:p w:rsidR="00F25CAB" w:rsidRPr="00F25CAB" w:rsidRDefault="00F25CAB" w:rsidP="00F25CAB">
      <w:p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етапу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етапу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змінюються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й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функції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людини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(оператора- технолога),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покликаного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забезпечити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регламентне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функціонування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Розширюється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коло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завдань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розв'язуваних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нею на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рівні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керування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Обмежений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можливостями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керування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технологічним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процесом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набір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завдань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4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поповнюється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якісно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новими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завданнями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раніше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мали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допоміжний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характер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або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призначались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для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іншого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рівня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</w:p>
    <w:p w:rsidR="00F25CAB" w:rsidRPr="00F25CAB" w:rsidRDefault="00F25CAB" w:rsidP="00F25CAB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F25CAB">
        <w:rPr>
          <w:rFonts w:ascii="Times New Roman" w:hAnsi="Times New Roman" w:cs="Times New Roman"/>
          <w:sz w:val="24"/>
          <w:lang w:val="ru-RU"/>
        </w:rPr>
        <w:t xml:space="preserve">Диспетчер у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багаторівневій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автоматизованій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системі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керування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технологічними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процесами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одержує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інформацію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монітора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ЕОМ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або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електронної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системи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відображення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інформації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впливає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об'єкти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перебувають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нього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значній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відстані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за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допомогою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телекомунікаційних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систем,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контролерів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інтелектуальних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виконавчих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механізмів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Основною,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необхідною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умовою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ефективної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реалізації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диспетчерського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керування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що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має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яскраво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виражений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динамічний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характер,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стає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робота з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інформацією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тобто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збирання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передачі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оброблення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відображення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подання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інформації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Від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оператора-технолога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вже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потрібно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не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тільки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професійне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знання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основ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й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досвід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роботи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інформаційних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системах,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уміння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приймати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рішення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(в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діалозі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з ЕОМ) у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позаштатних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аварійних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ситуаціях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і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багато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чого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іншого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Оператор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стає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головною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діючою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особою в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технологічним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процесом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Говорячи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про участь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людини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системі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управління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не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можна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не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торкнутися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проблеми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ризику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Технологічні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процеси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в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окремих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видах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харчової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промисловості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енергетиці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lastRenderedPageBreak/>
        <w:t>нафтогазовій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галузі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та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інших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є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потенційно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небезпечними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й при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виникненні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аварій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призводять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людських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жертв, а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також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значного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матеріального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й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екологічному</w:t>
      </w:r>
      <w:proofErr w:type="spellEnd"/>
      <w:r w:rsidRPr="00F25CAB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F25CAB">
        <w:rPr>
          <w:rFonts w:ascii="Times New Roman" w:hAnsi="Times New Roman" w:cs="Times New Roman"/>
          <w:sz w:val="24"/>
          <w:lang w:val="ru-RU"/>
        </w:rPr>
        <w:t>збитку</w:t>
      </w:r>
      <w:proofErr w:type="spellEnd"/>
    </w:p>
    <w:sectPr w:rsidR="00F25CAB" w:rsidRPr="00F25CAB" w:rsidSect="002E0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CB"/>
    <w:rsid w:val="001F4EBE"/>
    <w:rsid w:val="002E01DF"/>
    <w:rsid w:val="004E7982"/>
    <w:rsid w:val="005C43ED"/>
    <w:rsid w:val="00656BF0"/>
    <w:rsid w:val="00B021CB"/>
    <w:rsid w:val="00F2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F4F1"/>
  <w15:chartTrackingRefBased/>
  <w15:docId w15:val="{C67D0795-DD18-4B55-8B18-C809F00A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4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1D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43E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5C4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Hyperlink"/>
    <w:basedOn w:val="a0"/>
    <w:uiPriority w:val="99"/>
    <w:semiHidden/>
    <w:unhideWhenUsed/>
    <w:rsid w:val="005C43ED"/>
    <w:rPr>
      <w:color w:val="0000FF"/>
      <w:u w:val="single"/>
    </w:rPr>
  </w:style>
  <w:style w:type="character" w:customStyle="1" w:styleId="mw-headline">
    <w:name w:val="mw-headline"/>
    <w:basedOn w:val="a0"/>
    <w:rsid w:val="005C43ED"/>
  </w:style>
  <w:style w:type="character" w:customStyle="1" w:styleId="mw-editsection">
    <w:name w:val="mw-editsection"/>
    <w:basedOn w:val="a0"/>
    <w:rsid w:val="005C43ED"/>
  </w:style>
  <w:style w:type="character" w:customStyle="1" w:styleId="mw-editsection-bracket">
    <w:name w:val="mw-editsection-bracket"/>
    <w:basedOn w:val="a0"/>
    <w:rsid w:val="005C43ED"/>
  </w:style>
  <w:style w:type="character" w:customStyle="1" w:styleId="mw-editsection-divider">
    <w:name w:val="mw-editsection-divider"/>
    <w:basedOn w:val="a0"/>
    <w:rsid w:val="005C4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13" Type="http://schemas.openxmlformats.org/officeDocument/2006/relationships/hyperlink" Target="https://uk.wikipedia.org/wiki/%D0%A3%D0%BF%D1%80%D0%B0%D0%B2%D0%BB%D1%96%D0%BD%D0%BD%D1%8F_%D0%BF%D1%80%D0%BE%D1%86%D0%B5%D1%81%D0%BE%D0%BC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/index.php?title=%D0%9C%D0%B0%D1%82%D0%B5%D0%BC%D0%B0%D1%82%D0%B8%D1%87%D0%BD%D0%B5_%D0%B7%D0%B0%D0%B1%D0%B5%D0%B7%D0%BF%D0%B5%D1%87%D0%B5%D0%BD%D0%BD%D1%8F&amp;action=edit&amp;redlink=1" TargetMode="External"/><Relationship Id="rId12" Type="http://schemas.openxmlformats.org/officeDocument/2006/relationships/hyperlink" Target="https://uk.wikipedia.org/wiki/%D0%9E%D0%B1%D1%87%D0%B8%D1%81%D0%BB%D1%8E%D0%B2%D0%B0%D0%BB%D1%8C%D0%BD%D0%B0_%D0%BC%D0%B0%D1%88%D0%B8%D0%BD%D0%B0" TargetMode="External"/><Relationship Id="rId17" Type="http://schemas.openxmlformats.org/officeDocument/2006/relationships/hyperlink" Target="https://uk.wikipedia.org/wiki/%D0%9C%D0%BE%D0%B4%D0%B5%D0%BB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F%D1%80%D0%B8%D0%BA%D0%BB%D0%B0%D0%B4%D0%BD%D0%B0_%D0%BF%D1%80%D0%BE%D0%B3%D1%80%D0%B0%D0%BC%D0%B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4%D0%B0%D0%BD%D1%96" TargetMode="External"/><Relationship Id="rId11" Type="http://schemas.openxmlformats.org/officeDocument/2006/relationships/hyperlink" Target="https://uk.wikipedia.org/wiki/%D0%9E%D0%BF%D0%B5%D1%80%D0%B0%D1%86%D1%96%D0%B9%D0%BD%D0%B0_%D1%81%D0%B8%D1%81%D1%82%D0%B5%D0%BC%D0%B0" TargetMode="External"/><Relationship Id="rId5" Type="http://schemas.openxmlformats.org/officeDocument/2006/relationships/hyperlink" Target="https://uk.wikipedia.org/wiki/%D0%9C%D0%B0%D1%81%D0%B8%D0%B2_(%D1%81%D1%82%D1%80%D1%83%D0%BA%D1%82%D1%83%D1%80%D0%B0_%D0%B4%D0%B0%D0%BD%D0%B8%D1%85)" TargetMode="External"/><Relationship Id="rId15" Type="http://schemas.openxmlformats.org/officeDocument/2006/relationships/hyperlink" Target="https://uk.wikipedia.org/wiki/%D0%9F%D1%80%D0%BE%D0%B3%D1%80%D0%B0%D0%BC%D1%96%D1%81%D1%82" TargetMode="External"/><Relationship Id="rId10" Type="http://schemas.openxmlformats.org/officeDocument/2006/relationships/hyperlink" Target="https://uk.wikipedia.org/w/index.php?title=%D0%A1%D0%BF%D0%B5%D1%86%D1%96%D0%B0%D0%BB%D1%8C%D0%BD%D0%B5_%D0%B7%D0%B0%D0%B1%D0%B5%D0%B7%D0%BF%D0%B5%D1%87%D0%B5%D0%BD%D0%BD%D1%8F&amp;action=edit&amp;redlink=1" TargetMode="External"/><Relationship Id="rId19" Type="http://schemas.openxmlformats.org/officeDocument/2006/relationships/image" Target="media/image2.png"/><Relationship Id="rId4" Type="http://schemas.openxmlformats.org/officeDocument/2006/relationships/hyperlink" Target="https://uk.wikipedia.org/wiki/%D0%9D%D0%BE%D1%81%D1%96%D0%B9_%D1%96%D0%BD%D1%84%D0%BE%D1%80%D0%BC%D0%B0%D1%86%D1%96%D1%97" TargetMode="External"/><Relationship Id="rId9" Type="http://schemas.openxmlformats.org/officeDocument/2006/relationships/hyperlink" Target="https://uk.wikipedia.org/w/index.php?title=%D0%A1%D0%B8%D1%81%D1%82%D0%B5%D0%BC%D0%BD%D0%B5_%D0%B7%D0%B0%D0%B1%D0%B5%D0%B7%D0%BF%D0%B5%D1%87%D0%B5%D0%BD%D0%BD%D1%8F&amp;action=edit&amp;redlink=1" TargetMode="External"/><Relationship Id="rId14" Type="http://schemas.openxmlformats.org/officeDocument/2006/relationships/hyperlink" Target="https://uk.wikipedia.org/wiki/%D0%9E%D0%B1%D1%80%D0%BE%D0%B1%D0%BA%D0%B0_%D0%B4%D0%B0%D0%BD%D0%B8%D1%85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5708</Words>
  <Characters>3254</Characters>
  <Application>Microsoft Office Word</Application>
  <DocSecurity>0</DocSecurity>
  <Lines>27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2</cp:revision>
  <dcterms:created xsi:type="dcterms:W3CDTF">2021-09-20T20:24:00Z</dcterms:created>
  <dcterms:modified xsi:type="dcterms:W3CDTF">2021-09-20T20:24:00Z</dcterms:modified>
</cp:coreProperties>
</file>