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FB" w:rsidRPr="007918DD" w:rsidRDefault="00374FCA">
      <w:pPr>
        <w:rPr>
          <w:b/>
          <w:lang w:val="nl-NL"/>
        </w:rPr>
      </w:pPr>
      <w:r>
        <w:rPr>
          <w:b/>
          <w:lang w:val="nl-NL"/>
        </w:rPr>
        <w:t>Concept</w:t>
      </w:r>
      <w:r w:rsidR="00A52EA2">
        <w:rPr>
          <w:b/>
          <w:lang w:val="nl-NL"/>
        </w:rPr>
        <w:t xml:space="preserve"> beleid </w:t>
      </w:r>
      <w:r w:rsidR="0037388D">
        <w:rPr>
          <w:b/>
          <w:lang w:val="nl-NL"/>
        </w:rPr>
        <w:t>Voorschrijven van c</w:t>
      </w:r>
      <w:r w:rsidR="001B10B9" w:rsidRPr="007918DD">
        <w:rPr>
          <w:b/>
          <w:lang w:val="nl-NL"/>
        </w:rPr>
        <w:t>ombinatiepreparaten</w:t>
      </w:r>
    </w:p>
    <w:p w:rsidR="001B10B9" w:rsidRDefault="001B10B9">
      <w:pPr>
        <w:rPr>
          <w:lang w:val="nl-NL"/>
        </w:rPr>
      </w:pPr>
    </w:p>
    <w:p w:rsidR="00F45090" w:rsidRPr="00F45090" w:rsidRDefault="00F45090">
      <w:pPr>
        <w:rPr>
          <w:u w:val="single"/>
          <w:lang w:val="nl-NL"/>
        </w:rPr>
      </w:pPr>
      <w:r w:rsidRPr="00F45090">
        <w:rPr>
          <w:u w:val="single"/>
          <w:lang w:val="nl-NL"/>
        </w:rPr>
        <w:t>Probleemstelling</w:t>
      </w:r>
    </w:p>
    <w:p w:rsidR="0037388D" w:rsidRDefault="0037388D">
      <w:pPr>
        <w:rPr>
          <w:lang w:val="nl-NL"/>
        </w:rPr>
      </w:pPr>
      <w:r>
        <w:rPr>
          <w:lang w:val="nl-NL"/>
        </w:rPr>
        <w:t xml:space="preserve">Momenteel wordt geen eenduidige wijze van voorschrijven van combinatiepreparaten door voorschrijvers in het UMC Utrecht gehanteerd. Door het gebrek aan eenduidigheid bestaat het risico dat medicatieopdrachten anders worden geïnterpreteerd door </w:t>
      </w:r>
      <w:r w:rsidR="006360FE">
        <w:rPr>
          <w:lang w:val="nl-NL"/>
        </w:rPr>
        <w:t xml:space="preserve">verschillende </w:t>
      </w:r>
      <w:r w:rsidR="00F45090">
        <w:rPr>
          <w:lang w:val="nl-NL"/>
        </w:rPr>
        <w:t>zorgverlener</w:t>
      </w:r>
      <w:r w:rsidR="00920451">
        <w:rPr>
          <w:lang w:val="nl-NL"/>
        </w:rPr>
        <w:t>s</w:t>
      </w:r>
      <w:r w:rsidR="006360FE">
        <w:rPr>
          <w:lang w:val="nl-NL"/>
        </w:rPr>
        <w:t xml:space="preserve"> in de keten van voorschrijven tot toedienen (</w:t>
      </w:r>
      <w:r>
        <w:rPr>
          <w:lang w:val="nl-NL"/>
        </w:rPr>
        <w:t xml:space="preserve">voorschrijvers, de apotheek </w:t>
      </w:r>
      <w:proofErr w:type="gramStart"/>
      <w:r>
        <w:rPr>
          <w:lang w:val="nl-NL"/>
        </w:rPr>
        <w:t>(</w:t>
      </w:r>
      <w:proofErr w:type="gramEnd"/>
      <w:r>
        <w:rPr>
          <w:lang w:val="nl-NL"/>
        </w:rPr>
        <w:t>doseercontrole) en verpleegkundigen (voor toediening gereed maken en toedienen)</w:t>
      </w:r>
      <w:r w:rsidR="006360FE">
        <w:rPr>
          <w:lang w:val="nl-NL"/>
        </w:rPr>
        <w:t>)</w:t>
      </w:r>
      <w:r>
        <w:rPr>
          <w:lang w:val="nl-NL"/>
        </w:rPr>
        <w:t xml:space="preserve">. Daarnaast dienen medicatieopdrachten </w:t>
      </w:r>
      <w:r w:rsidR="006360FE">
        <w:rPr>
          <w:lang w:val="nl-NL"/>
        </w:rPr>
        <w:t>niet multi-interpretabel te zijn</w:t>
      </w:r>
      <w:r>
        <w:rPr>
          <w:lang w:val="nl-NL"/>
        </w:rPr>
        <w:t xml:space="preserve"> bij overdracht in de keten</w:t>
      </w:r>
      <w:r w:rsidR="006360FE">
        <w:rPr>
          <w:lang w:val="nl-NL"/>
        </w:rPr>
        <w:t xml:space="preserve"> naar de volgende zorgverlener</w:t>
      </w:r>
      <w:r>
        <w:rPr>
          <w:lang w:val="nl-NL"/>
        </w:rPr>
        <w:t>, bijvoorbeeld</w:t>
      </w:r>
      <w:r w:rsidR="006360FE">
        <w:rPr>
          <w:lang w:val="nl-NL"/>
        </w:rPr>
        <w:t xml:space="preserve"> van </w:t>
      </w:r>
      <w:r w:rsidR="00920451">
        <w:rPr>
          <w:lang w:val="nl-NL"/>
        </w:rPr>
        <w:t xml:space="preserve">medisch </w:t>
      </w:r>
      <w:r w:rsidR="006360FE">
        <w:rPr>
          <w:lang w:val="nl-NL"/>
        </w:rPr>
        <w:t>specialist naar</w:t>
      </w:r>
      <w:r>
        <w:rPr>
          <w:lang w:val="nl-NL"/>
        </w:rPr>
        <w:t xml:space="preserve"> huisarts</w:t>
      </w:r>
      <w:r w:rsidR="006360FE">
        <w:rPr>
          <w:lang w:val="nl-NL"/>
        </w:rPr>
        <w:t>/</w:t>
      </w:r>
      <w:r>
        <w:rPr>
          <w:lang w:val="nl-NL"/>
        </w:rPr>
        <w:t>openba</w:t>
      </w:r>
      <w:r w:rsidR="006360FE">
        <w:rPr>
          <w:lang w:val="nl-NL"/>
        </w:rPr>
        <w:t>a</w:t>
      </w:r>
      <w:r>
        <w:rPr>
          <w:lang w:val="nl-NL"/>
        </w:rPr>
        <w:t>r</w:t>
      </w:r>
      <w:r w:rsidR="006360FE">
        <w:rPr>
          <w:lang w:val="nl-NL"/>
        </w:rPr>
        <w:t xml:space="preserve"> apotheker</w:t>
      </w:r>
      <w:r>
        <w:rPr>
          <w:lang w:val="nl-NL"/>
        </w:rPr>
        <w:t>.</w:t>
      </w:r>
    </w:p>
    <w:p w:rsidR="0037388D" w:rsidRDefault="0037388D">
      <w:pPr>
        <w:rPr>
          <w:lang w:val="nl-NL"/>
        </w:rPr>
      </w:pPr>
      <w:r>
        <w:rPr>
          <w:lang w:val="nl-NL"/>
        </w:rPr>
        <w:t xml:space="preserve">Vanuit niet gedocumenteerde werkafspraken uit het verleden, werd bij het voorschrijven van combinatiepreparaten veelal </w:t>
      </w:r>
      <w:r w:rsidR="00F45090">
        <w:rPr>
          <w:lang w:val="nl-NL"/>
        </w:rPr>
        <w:t>het volgende uitgangspunt gehanteerd</w:t>
      </w:r>
      <w:r>
        <w:rPr>
          <w:lang w:val="nl-NL"/>
        </w:rPr>
        <w:t xml:space="preserve">: </w:t>
      </w:r>
      <w:r w:rsidR="00F45090">
        <w:rPr>
          <w:lang w:val="nl-NL"/>
        </w:rPr>
        <w:t>“</w:t>
      </w:r>
      <w:r>
        <w:rPr>
          <w:lang w:val="nl-NL"/>
        </w:rPr>
        <w:t>dosis vaststellen op basis van werkzame stof of, indie</w:t>
      </w:r>
      <w:r w:rsidR="00BF2D64">
        <w:rPr>
          <w:lang w:val="nl-NL"/>
        </w:rPr>
        <w:t>n het preparaat meerdere werkzam</w:t>
      </w:r>
      <w:r>
        <w:rPr>
          <w:lang w:val="nl-NL"/>
        </w:rPr>
        <w:t>e stoffen bevat, optellen van de doseringen van de verschillende werkzame stoffen.</w:t>
      </w:r>
      <w:r w:rsidR="00F45090">
        <w:rPr>
          <w:lang w:val="nl-NL"/>
        </w:rPr>
        <w:t>”</w:t>
      </w:r>
      <w:r>
        <w:rPr>
          <w:lang w:val="nl-NL"/>
        </w:rPr>
        <w:t xml:space="preserve"> </w:t>
      </w:r>
      <w:r w:rsidR="00F45090">
        <w:rPr>
          <w:lang w:val="nl-NL"/>
        </w:rPr>
        <w:t xml:space="preserve">Deze werkwijze heeft echter de laatste jaren geresulteerd in diverse MIP meldingen </w:t>
      </w:r>
      <w:r w:rsidR="00A52EA2">
        <w:rPr>
          <w:lang w:val="nl-NL"/>
        </w:rPr>
        <w:t xml:space="preserve">over onduidelijkheid over de interpretatie van de MO </w:t>
      </w:r>
      <w:r w:rsidR="00F45090">
        <w:rPr>
          <w:lang w:val="nl-NL"/>
        </w:rPr>
        <w:t xml:space="preserve">waarbij patiënten </w:t>
      </w:r>
      <w:r w:rsidR="00A52EA2">
        <w:rPr>
          <w:lang w:val="nl-NL"/>
        </w:rPr>
        <w:t xml:space="preserve">zelfs </w:t>
      </w:r>
      <w:r w:rsidR="00F45090">
        <w:rPr>
          <w:lang w:val="nl-NL"/>
        </w:rPr>
        <w:t xml:space="preserve">verkeerde doseringen toegediend hebben gekregen. </w:t>
      </w:r>
    </w:p>
    <w:p w:rsidR="00F45090" w:rsidRDefault="00F45090">
      <w:pPr>
        <w:rPr>
          <w:lang w:val="nl-NL"/>
        </w:rPr>
      </w:pPr>
    </w:p>
    <w:p w:rsidR="00F45090" w:rsidRPr="00F45090" w:rsidRDefault="00F45090">
      <w:pPr>
        <w:rPr>
          <w:u w:val="single"/>
          <w:lang w:val="nl-NL"/>
        </w:rPr>
      </w:pPr>
      <w:r w:rsidRPr="00F45090">
        <w:rPr>
          <w:u w:val="single"/>
          <w:lang w:val="nl-NL"/>
        </w:rPr>
        <w:t>Uitgangspunten</w:t>
      </w:r>
    </w:p>
    <w:p w:rsidR="00F45090" w:rsidRDefault="00F45090">
      <w:pPr>
        <w:rPr>
          <w:lang w:val="nl-NL"/>
        </w:rPr>
      </w:pPr>
      <w:r>
        <w:rPr>
          <w:lang w:val="nl-NL"/>
        </w:rPr>
        <w:t xml:space="preserve">Er zijn vele preparaten op de markt beschikbaar, welke meer dan </w:t>
      </w:r>
      <w:r>
        <w:rPr>
          <w:rFonts w:cs="Segoe UI"/>
          <w:lang w:val="nl-NL"/>
        </w:rPr>
        <w:t>éé</w:t>
      </w:r>
      <w:r>
        <w:rPr>
          <w:lang w:val="nl-NL"/>
        </w:rPr>
        <w:t xml:space="preserve">n werkzame component bevatten: </w:t>
      </w:r>
      <w:proofErr w:type="gramStart"/>
      <w:r>
        <w:rPr>
          <w:lang w:val="nl-NL"/>
        </w:rPr>
        <w:t xml:space="preserve">combinatiepreparaten.  </w:t>
      </w:r>
      <w:proofErr w:type="gramEnd"/>
      <w:r>
        <w:rPr>
          <w:lang w:val="nl-NL"/>
        </w:rPr>
        <w:t>Deze ‘werkzame componenten’ dragen niet altijd direct farmacologisch bij aan de werkzaamheid</w:t>
      </w:r>
      <w:r w:rsidR="00F14643">
        <w:rPr>
          <w:lang w:val="nl-NL"/>
        </w:rPr>
        <w:t>,</w:t>
      </w:r>
      <w:r>
        <w:rPr>
          <w:lang w:val="nl-NL"/>
        </w:rPr>
        <w:t xml:space="preserve"> maar kunnen een farmacokinetisch-modulerend effect hebben op de andere werkzame component waardoor het preparaat bijvoorbeeld minder vaak gedoseerd hoeft te worden.</w:t>
      </w:r>
    </w:p>
    <w:p w:rsidR="00F45090" w:rsidRDefault="00F45090">
      <w:pPr>
        <w:rPr>
          <w:lang w:val="nl-NL"/>
        </w:rPr>
      </w:pPr>
      <w:r>
        <w:rPr>
          <w:lang w:val="nl-NL"/>
        </w:rPr>
        <w:t>Het voorschrijven van combinatiepreparaten brengt de volgende uitdagingen met zich mee:</w:t>
      </w:r>
    </w:p>
    <w:p w:rsidR="0037388D" w:rsidRDefault="00F45090">
      <w:pPr>
        <w:rPr>
          <w:lang w:val="nl-NL"/>
        </w:rPr>
      </w:pPr>
      <w:r>
        <w:rPr>
          <w:lang w:val="nl-NL"/>
        </w:rPr>
        <w:t>*</w:t>
      </w:r>
      <w:r w:rsidR="0037388D">
        <w:rPr>
          <w:lang w:val="nl-NL"/>
        </w:rPr>
        <w:t xml:space="preserve">Verschillende componenten binnen </w:t>
      </w:r>
      <w:r w:rsidR="00BF2D64">
        <w:rPr>
          <w:rFonts w:cs="Segoe UI"/>
          <w:lang w:val="nl-NL"/>
        </w:rPr>
        <w:t>éé</w:t>
      </w:r>
      <w:r w:rsidR="0037388D">
        <w:rPr>
          <w:lang w:val="nl-NL"/>
        </w:rPr>
        <w:t>n preparaat kunnen een andere doseereenheid hebben</w:t>
      </w:r>
      <w:r w:rsidR="00BF2D64">
        <w:rPr>
          <w:lang w:val="nl-NL"/>
        </w:rPr>
        <w:t xml:space="preserve"> (voorbeeld: Calcium 500 mg + Vitamine D 400 IE)</w:t>
      </w:r>
    </w:p>
    <w:p w:rsidR="00BF2D64" w:rsidRDefault="00F45090">
      <w:pPr>
        <w:rPr>
          <w:lang w:val="nl-NL"/>
        </w:rPr>
      </w:pPr>
      <w:r>
        <w:rPr>
          <w:lang w:val="nl-NL"/>
        </w:rPr>
        <w:t>*</w:t>
      </w:r>
      <w:r w:rsidR="00BF2D64">
        <w:rPr>
          <w:lang w:val="nl-NL"/>
        </w:rPr>
        <w:t xml:space="preserve">Voorschrijven op werkzame componenten veronderstelt van elke zorgverlener (voorschrijver, toediener) farmacotherapeutische inhoudskennis over de farmacologische/farmacokinetische werkzaamheid van de diverse componenten (voorbeeld </w:t>
      </w:r>
      <w:r w:rsidR="00374FCA">
        <w:rPr>
          <w:lang w:val="nl-NL"/>
        </w:rPr>
        <w:t>imipenem 500 mg + cilastatine 500 mg</w:t>
      </w:r>
      <w:r w:rsidR="00BF2D64">
        <w:rPr>
          <w:lang w:val="nl-NL"/>
        </w:rPr>
        <w:t>).</w:t>
      </w:r>
    </w:p>
    <w:p w:rsidR="00BF2D64" w:rsidRDefault="00F45090" w:rsidP="00BF2D64">
      <w:pPr>
        <w:rPr>
          <w:lang w:val="nl-NL"/>
        </w:rPr>
      </w:pPr>
      <w:r>
        <w:rPr>
          <w:lang w:val="nl-NL"/>
        </w:rPr>
        <w:t>*</w:t>
      </w:r>
      <w:r w:rsidR="0037388D">
        <w:rPr>
          <w:lang w:val="nl-NL"/>
        </w:rPr>
        <w:t xml:space="preserve">Door ontwikkeling van preparaten met meerdere componenten is het niet altijd </w:t>
      </w:r>
      <w:r w:rsidR="00BF2D64">
        <w:rPr>
          <w:lang w:val="nl-NL"/>
        </w:rPr>
        <w:t>intuïtief</w:t>
      </w:r>
      <w:r w:rsidR="0037388D">
        <w:rPr>
          <w:lang w:val="nl-NL"/>
        </w:rPr>
        <w:t xml:space="preserve"> vast te stellen welke componenten tot de werkzame stoffen behoren</w:t>
      </w:r>
      <w:r w:rsidR="00BF2D64">
        <w:rPr>
          <w:lang w:val="nl-NL"/>
        </w:rPr>
        <w:t xml:space="preserve"> (voorbeeld </w:t>
      </w:r>
      <w:r w:rsidR="00397EEA">
        <w:rPr>
          <w:lang w:val="nl-NL"/>
        </w:rPr>
        <w:t>o</w:t>
      </w:r>
      <w:r w:rsidR="00BF2D64">
        <w:rPr>
          <w:lang w:val="nl-NL"/>
        </w:rPr>
        <w:t>mbitasvir/paritasv</w:t>
      </w:r>
      <w:bookmarkStart w:id="0" w:name="_GoBack"/>
      <w:bookmarkEnd w:id="0"/>
      <w:r w:rsidR="00BF2D64">
        <w:rPr>
          <w:lang w:val="nl-NL"/>
        </w:rPr>
        <w:t xml:space="preserve">ir/ritonavir tab 12,5/75/50mg) </w:t>
      </w:r>
    </w:p>
    <w:p w:rsidR="00A52EA2" w:rsidRDefault="00A52EA2" w:rsidP="00BF2D64">
      <w:pPr>
        <w:rPr>
          <w:lang w:val="nl-NL"/>
        </w:rPr>
      </w:pPr>
      <w:proofErr w:type="gramStart"/>
      <w:r>
        <w:rPr>
          <w:lang w:val="nl-NL"/>
        </w:rPr>
        <w:lastRenderedPageBreak/>
        <w:t>*Naamgeving van producten is niet eenduidig waardoor er onduidelijkheid is over werkzaamheid componenten en aan de hand van welke stof de dosering moet worden vastgesteld</w:t>
      </w:r>
      <w:proofErr w:type="gramEnd"/>
    </w:p>
    <w:p w:rsidR="00A52EA2" w:rsidRDefault="00A52EA2" w:rsidP="00A52EA2">
      <w:pPr>
        <w:rPr>
          <w:lang w:val="nl-NL"/>
        </w:rPr>
      </w:pPr>
      <w:r>
        <w:rPr>
          <w:lang w:val="nl-NL"/>
        </w:rPr>
        <w:tab/>
        <w:t xml:space="preserve">Voorbeelden: </w:t>
      </w:r>
    </w:p>
    <w:p w:rsidR="00A52EA2" w:rsidRDefault="00A52EA2" w:rsidP="00A52EA2">
      <w:pPr>
        <w:ind w:firstLine="720"/>
        <w:rPr>
          <w:lang w:val="nl-NL"/>
        </w:rPr>
      </w:pPr>
      <w:r>
        <w:rPr>
          <w:lang w:val="nl-NL"/>
        </w:rPr>
        <w:t>Imipenem 500 mg (+cilastatine 500 mg) injectiepoeder</w:t>
      </w:r>
    </w:p>
    <w:p w:rsidR="00A52EA2" w:rsidRDefault="00A52EA2" w:rsidP="00A52EA2">
      <w:pPr>
        <w:ind w:firstLine="720"/>
        <w:rPr>
          <w:lang w:val="nl-NL"/>
        </w:rPr>
      </w:pPr>
      <w:r>
        <w:rPr>
          <w:lang w:val="nl-NL"/>
        </w:rPr>
        <w:t>Amoxicilline 1000 mg (+ clav 200 mg) injectiepoeder</w:t>
      </w:r>
    </w:p>
    <w:p w:rsidR="00A52EA2" w:rsidRPr="00AB054B" w:rsidRDefault="00A52EA2" w:rsidP="00A52EA2">
      <w:pPr>
        <w:ind w:firstLine="720"/>
        <w:rPr>
          <w:lang w:val="nl-NL"/>
        </w:rPr>
      </w:pPr>
      <w:r w:rsidRPr="00AB054B">
        <w:rPr>
          <w:lang w:val="nl-NL"/>
        </w:rPr>
        <w:t>Piperacilline 4000 mg + tazobactam 500 mg injectiepoeder</w:t>
      </w:r>
    </w:p>
    <w:p w:rsidR="00A52EA2" w:rsidRPr="00A52EA2" w:rsidRDefault="00A52EA2" w:rsidP="00A52EA2">
      <w:pPr>
        <w:ind w:firstLine="720"/>
        <w:rPr>
          <w:lang w:val="nl-NL"/>
        </w:rPr>
      </w:pPr>
      <w:r w:rsidRPr="00A52EA2">
        <w:rPr>
          <w:lang w:val="nl-NL"/>
        </w:rPr>
        <w:t xml:space="preserve">Bactrimel 96 mg/mL (80+16 mg/ml) ampul 5 mL </w:t>
      </w:r>
    </w:p>
    <w:p w:rsidR="00A52EA2" w:rsidRPr="00A52EA2" w:rsidRDefault="00A52EA2" w:rsidP="00BF2D64">
      <w:pPr>
        <w:rPr>
          <w:lang w:val="nl-NL"/>
        </w:rPr>
      </w:pPr>
    </w:p>
    <w:p w:rsidR="0037388D" w:rsidRPr="00A52EA2" w:rsidRDefault="0037388D">
      <w:pPr>
        <w:rPr>
          <w:lang w:val="nl-NL"/>
        </w:rPr>
      </w:pPr>
    </w:p>
    <w:p w:rsidR="00F45090" w:rsidRPr="00F45090" w:rsidRDefault="00F45090">
      <w:pPr>
        <w:rPr>
          <w:u w:val="single"/>
          <w:lang w:val="nl-NL"/>
        </w:rPr>
      </w:pPr>
      <w:r w:rsidRPr="00F45090">
        <w:rPr>
          <w:u w:val="single"/>
          <w:lang w:val="nl-NL"/>
        </w:rPr>
        <w:t>Voorstel</w:t>
      </w:r>
    </w:p>
    <w:p w:rsidR="001B10B9" w:rsidRPr="007918DD" w:rsidRDefault="00F45090">
      <w:pPr>
        <w:rPr>
          <w:b/>
          <w:lang w:val="nl-NL"/>
        </w:rPr>
      </w:pPr>
      <w:r>
        <w:rPr>
          <w:b/>
          <w:lang w:val="nl-NL"/>
        </w:rPr>
        <w:t xml:space="preserve">1. </w:t>
      </w:r>
      <w:r w:rsidR="004A3610">
        <w:rPr>
          <w:b/>
          <w:lang w:val="nl-NL"/>
        </w:rPr>
        <w:t>Niet-parenterale</w:t>
      </w:r>
      <w:r>
        <w:rPr>
          <w:b/>
          <w:lang w:val="nl-NL"/>
        </w:rPr>
        <w:t xml:space="preserve"> toedieningsvormen</w:t>
      </w:r>
      <w:r w:rsidR="0003095F">
        <w:rPr>
          <w:b/>
          <w:lang w:val="nl-NL"/>
        </w:rPr>
        <w:t xml:space="preserve">: </w:t>
      </w:r>
      <w:r w:rsidR="00A52EA2">
        <w:rPr>
          <w:b/>
          <w:lang w:val="nl-NL"/>
        </w:rPr>
        <w:t xml:space="preserve">voorschrijven </w:t>
      </w:r>
      <w:r>
        <w:rPr>
          <w:b/>
          <w:lang w:val="nl-NL"/>
        </w:rPr>
        <w:t xml:space="preserve">in </w:t>
      </w:r>
      <w:r w:rsidR="0003095F">
        <w:rPr>
          <w:b/>
          <w:lang w:val="nl-NL"/>
        </w:rPr>
        <w:t>s</w:t>
      </w:r>
      <w:r w:rsidR="001B10B9" w:rsidRPr="007918DD">
        <w:rPr>
          <w:b/>
          <w:lang w:val="nl-NL"/>
        </w:rPr>
        <w:t>tuks</w:t>
      </w:r>
      <w:proofErr w:type="gramStart"/>
      <w:r w:rsidR="00920451">
        <w:rPr>
          <w:b/>
          <w:lang w:val="nl-NL"/>
        </w:rPr>
        <w:t>,</w:t>
      </w:r>
      <w:r w:rsidR="001B10B9" w:rsidRPr="007918DD">
        <w:rPr>
          <w:b/>
          <w:lang w:val="nl-NL"/>
        </w:rPr>
        <w:t>milliliters</w:t>
      </w:r>
      <w:proofErr w:type="gramEnd"/>
      <w:r w:rsidR="00920451">
        <w:rPr>
          <w:b/>
          <w:lang w:val="nl-NL"/>
        </w:rPr>
        <w:t xml:space="preserve"> of </w:t>
      </w:r>
      <w:r w:rsidR="0003095F">
        <w:rPr>
          <w:b/>
          <w:lang w:val="nl-NL"/>
        </w:rPr>
        <w:t>doses</w:t>
      </w:r>
    </w:p>
    <w:p w:rsidR="0003095F" w:rsidRPr="0003095F" w:rsidRDefault="00F45090">
      <w:pPr>
        <w:rPr>
          <w:i/>
          <w:lang w:val="nl-NL"/>
        </w:rPr>
      </w:pPr>
      <w:r>
        <w:rPr>
          <w:i/>
          <w:lang w:val="nl-NL"/>
        </w:rPr>
        <w:t>Voorbeelden “</w:t>
      </w:r>
      <w:r w:rsidR="0003095F" w:rsidRPr="0003095F">
        <w:rPr>
          <w:i/>
          <w:lang w:val="nl-NL"/>
        </w:rPr>
        <w:t>Stuks</w:t>
      </w:r>
      <w:r>
        <w:rPr>
          <w:i/>
          <w:lang w:val="nl-NL"/>
        </w:rPr>
        <w:t>” (</w:t>
      </w:r>
      <w:r w:rsidR="00A52EA2">
        <w:rPr>
          <w:i/>
          <w:lang w:val="nl-NL"/>
        </w:rPr>
        <w:t xml:space="preserve">bijvoorbeeld </w:t>
      </w:r>
      <w:r>
        <w:rPr>
          <w:i/>
          <w:lang w:val="nl-NL"/>
        </w:rPr>
        <w:t>2dd 2 stuks)</w:t>
      </w:r>
    </w:p>
    <w:p w:rsidR="007918DD" w:rsidRPr="000C0A33" w:rsidRDefault="007918DD">
      <w:r w:rsidRPr="000C0A33">
        <w:t>Augmentin 500 mg (+clav 125 mg) tablet</w:t>
      </w:r>
    </w:p>
    <w:p w:rsidR="00EE4D37" w:rsidRPr="00511E42" w:rsidRDefault="00EE4D37">
      <w:pPr>
        <w:rPr>
          <w:lang w:val="es-ES_tradnl"/>
        </w:rPr>
      </w:pPr>
      <w:r w:rsidRPr="00511E42">
        <w:rPr>
          <w:lang w:val="es-ES_tradnl"/>
        </w:rPr>
        <w:t>Cotrimoxazol 120 mg (20/100) tablet</w:t>
      </w:r>
    </w:p>
    <w:p w:rsidR="007918DD" w:rsidRPr="006360FE" w:rsidRDefault="007918DD">
      <w:pPr>
        <w:rPr>
          <w:lang w:val="es-ES_tradnl"/>
        </w:rPr>
      </w:pPr>
      <w:r w:rsidRPr="006360FE">
        <w:rPr>
          <w:lang w:val="es-ES_tradnl"/>
        </w:rPr>
        <w:t>Ombitasvir/paritasvir/ritonavir tab 12,5/75/50mg</w:t>
      </w:r>
    </w:p>
    <w:p w:rsidR="007918DD" w:rsidRPr="006360FE" w:rsidRDefault="007918DD">
      <w:pPr>
        <w:rPr>
          <w:lang w:val="es-ES_tradnl"/>
        </w:rPr>
      </w:pPr>
      <w:r w:rsidRPr="006360FE">
        <w:rPr>
          <w:lang w:val="es-ES_tradnl"/>
        </w:rPr>
        <w:t>Ledipasvir/sofosbuvir tablet 90/400 mg</w:t>
      </w:r>
    </w:p>
    <w:p w:rsidR="007918DD" w:rsidRPr="006360FE" w:rsidRDefault="007918DD" w:rsidP="007918DD">
      <w:pPr>
        <w:rPr>
          <w:lang w:val="es-ES_tradnl"/>
        </w:rPr>
      </w:pPr>
      <w:r w:rsidRPr="006360FE">
        <w:rPr>
          <w:lang w:val="es-ES_tradnl"/>
        </w:rPr>
        <w:t>Calcium 500 mg/vitamine D 400 IE</w:t>
      </w:r>
    </w:p>
    <w:p w:rsidR="0003095F" w:rsidRPr="000C0A33" w:rsidRDefault="0003095F" w:rsidP="0003095F">
      <w:r w:rsidRPr="000C0A33">
        <w:t>Ethinylestradiol/desogestrel tablet 30/150 ug</w:t>
      </w:r>
    </w:p>
    <w:p w:rsidR="0003095F" w:rsidRPr="000C0A33" w:rsidRDefault="0003095F" w:rsidP="0003095F"/>
    <w:p w:rsidR="0003095F" w:rsidRPr="00511E42" w:rsidRDefault="00F45090" w:rsidP="0003095F">
      <w:pPr>
        <w:rPr>
          <w:i/>
          <w:lang w:val="nl-NL"/>
        </w:rPr>
      </w:pPr>
      <w:r w:rsidRPr="00511E42">
        <w:rPr>
          <w:i/>
          <w:lang w:val="nl-NL"/>
        </w:rPr>
        <w:t>Voorbeelden: “</w:t>
      </w:r>
      <w:r w:rsidR="0003095F" w:rsidRPr="00511E42">
        <w:rPr>
          <w:i/>
          <w:lang w:val="nl-NL"/>
        </w:rPr>
        <w:t>Milliliters</w:t>
      </w:r>
      <w:r w:rsidRPr="00511E42">
        <w:rPr>
          <w:i/>
          <w:lang w:val="nl-NL"/>
        </w:rPr>
        <w:t>” (</w:t>
      </w:r>
      <w:r w:rsidR="00A52EA2">
        <w:rPr>
          <w:i/>
          <w:lang w:val="nl-NL"/>
        </w:rPr>
        <w:t xml:space="preserve">bijvoorbeeld </w:t>
      </w:r>
      <w:r w:rsidRPr="00511E42">
        <w:rPr>
          <w:i/>
          <w:lang w:val="nl-NL"/>
        </w:rPr>
        <w:t>2dd 2 ml)</w:t>
      </w:r>
    </w:p>
    <w:p w:rsidR="0003095F" w:rsidRPr="00AB054B" w:rsidRDefault="0003095F" w:rsidP="0003095F">
      <w:pPr>
        <w:rPr>
          <w:lang w:val="nl-NL"/>
        </w:rPr>
      </w:pPr>
      <w:r w:rsidRPr="00AB054B">
        <w:rPr>
          <w:lang w:val="nl-NL"/>
        </w:rPr>
        <w:t>Kaletra 80 mg/ml (+ritonavir 20 mg/mL) drank</w:t>
      </w:r>
    </w:p>
    <w:p w:rsidR="00EE4D37" w:rsidRPr="000C0A33" w:rsidRDefault="00EE4D37" w:rsidP="00EE4D37">
      <w:r w:rsidRPr="000C0A33">
        <w:t>Bactrimel 48 mg/mL (40+8 mg/ml) suspensie</w:t>
      </w:r>
    </w:p>
    <w:p w:rsidR="007918DD" w:rsidRPr="00511E42" w:rsidRDefault="007918DD">
      <w:pPr>
        <w:rPr>
          <w:lang w:val="nl-NL"/>
        </w:rPr>
      </w:pPr>
      <w:r w:rsidRPr="00AB054B">
        <w:rPr>
          <w:lang w:val="nl-NL"/>
        </w:rPr>
        <w:t>Bactrimel 96 mg/mL (80+16 mg/ml) ampul 5 mL</w:t>
      </w:r>
    </w:p>
    <w:p w:rsidR="0003095F" w:rsidRPr="006360FE" w:rsidRDefault="0003095F">
      <w:pPr>
        <w:rPr>
          <w:lang w:val="nl-NL"/>
        </w:rPr>
      </w:pPr>
      <w:r w:rsidRPr="004A3610">
        <w:rPr>
          <w:lang w:val="nl-NL"/>
        </w:rPr>
        <w:t>Salbutamol/ipratropium vernevelvloeisto</w:t>
      </w:r>
      <w:r w:rsidRPr="006360FE">
        <w:rPr>
          <w:lang w:val="nl-NL"/>
        </w:rPr>
        <w:t>f 1/0,2 mg/mL</w:t>
      </w:r>
    </w:p>
    <w:p w:rsidR="0003095F" w:rsidRPr="006360FE" w:rsidRDefault="0003095F">
      <w:pPr>
        <w:rPr>
          <w:lang w:val="nl-NL"/>
        </w:rPr>
      </w:pPr>
    </w:p>
    <w:p w:rsidR="0003095F" w:rsidRPr="0003095F" w:rsidRDefault="00F45090" w:rsidP="007918DD">
      <w:pPr>
        <w:rPr>
          <w:i/>
          <w:lang w:val="nl-NL"/>
        </w:rPr>
      </w:pPr>
      <w:r>
        <w:rPr>
          <w:i/>
          <w:lang w:val="nl-NL"/>
        </w:rPr>
        <w:t>Voorbeelden: “</w:t>
      </w:r>
      <w:r w:rsidR="0003095F" w:rsidRPr="0003095F">
        <w:rPr>
          <w:i/>
          <w:lang w:val="nl-NL"/>
        </w:rPr>
        <w:t>Doses</w:t>
      </w:r>
      <w:r>
        <w:rPr>
          <w:i/>
          <w:lang w:val="nl-NL"/>
        </w:rPr>
        <w:t>”(</w:t>
      </w:r>
      <w:r w:rsidR="00A52EA2">
        <w:rPr>
          <w:i/>
          <w:lang w:val="nl-NL"/>
        </w:rPr>
        <w:t xml:space="preserve">bijvoorbeeld </w:t>
      </w:r>
      <w:r>
        <w:rPr>
          <w:i/>
          <w:lang w:val="nl-NL"/>
        </w:rPr>
        <w:t>2dd 2 doses)</w:t>
      </w:r>
    </w:p>
    <w:p w:rsidR="0003095F" w:rsidRPr="0003095F" w:rsidRDefault="0003095F" w:rsidP="007918DD">
      <w:pPr>
        <w:rPr>
          <w:lang w:val="nl-NL"/>
        </w:rPr>
      </w:pPr>
      <w:r w:rsidRPr="0003095F">
        <w:rPr>
          <w:lang w:val="nl-NL"/>
        </w:rPr>
        <w:t>Budesonide/formoterol inhalatiepoeder 200/6 ug/dosis</w:t>
      </w:r>
    </w:p>
    <w:p w:rsidR="0003095F" w:rsidRPr="0003095F" w:rsidRDefault="0003095F" w:rsidP="007918DD">
      <w:pPr>
        <w:rPr>
          <w:lang w:val="nl-NL"/>
        </w:rPr>
      </w:pPr>
    </w:p>
    <w:p w:rsidR="00A52EA2" w:rsidRDefault="00A52EA2">
      <w:pPr>
        <w:rPr>
          <w:i/>
          <w:lang w:val="nl-NL"/>
        </w:rPr>
      </w:pPr>
      <w:r w:rsidRPr="00A52EA2">
        <w:rPr>
          <w:i/>
          <w:lang w:val="nl-NL"/>
        </w:rPr>
        <w:t>Uitgangspunt</w:t>
      </w:r>
      <w:r>
        <w:rPr>
          <w:i/>
          <w:lang w:val="nl-NL"/>
        </w:rPr>
        <w:t>en</w:t>
      </w:r>
      <w:r w:rsidRPr="00A52EA2">
        <w:rPr>
          <w:i/>
          <w:lang w:val="nl-NL"/>
        </w:rPr>
        <w:t xml:space="preserve">: </w:t>
      </w:r>
    </w:p>
    <w:p w:rsidR="00A52EA2" w:rsidRDefault="00A52EA2">
      <w:pPr>
        <w:rPr>
          <w:i/>
          <w:lang w:val="nl-NL"/>
        </w:rPr>
      </w:pPr>
      <w:r>
        <w:rPr>
          <w:i/>
          <w:lang w:val="nl-NL"/>
        </w:rPr>
        <w:t>*</w:t>
      </w:r>
      <w:proofErr w:type="gramStart"/>
      <w:r w:rsidRPr="00A52EA2">
        <w:rPr>
          <w:i/>
          <w:lang w:val="nl-NL"/>
        </w:rPr>
        <w:t>in</w:t>
      </w:r>
      <w:proofErr w:type="gramEnd"/>
      <w:r w:rsidRPr="00A52EA2">
        <w:rPr>
          <w:i/>
          <w:lang w:val="nl-NL"/>
        </w:rPr>
        <w:t xml:space="preserve"> HiX deze producten alleen mogelijkheid tot voorschrijven in stuks/mL/doses en niet meer in mg</w:t>
      </w:r>
    </w:p>
    <w:p w:rsidR="0003095F" w:rsidRDefault="00A52EA2">
      <w:pPr>
        <w:rPr>
          <w:i/>
          <w:lang w:val="nl-NL"/>
        </w:rPr>
      </w:pPr>
      <w:r>
        <w:rPr>
          <w:i/>
          <w:lang w:val="nl-NL"/>
        </w:rPr>
        <w:t>*</w:t>
      </w:r>
      <w:proofErr w:type="gramStart"/>
      <w:r>
        <w:rPr>
          <w:i/>
          <w:lang w:val="nl-NL"/>
        </w:rPr>
        <w:t>medicatiebewakingssoftware</w:t>
      </w:r>
      <w:proofErr w:type="gramEnd"/>
      <w:r>
        <w:rPr>
          <w:i/>
          <w:lang w:val="nl-NL"/>
        </w:rPr>
        <w:t xml:space="preserve"> instellen op bewaking in stuks/mL/doses</w:t>
      </w:r>
      <w:r w:rsidR="0003095F" w:rsidRPr="00A52EA2">
        <w:rPr>
          <w:i/>
          <w:lang w:val="nl-NL"/>
        </w:rPr>
        <w:br w:type="page"/>
      </w:r>
    </w:p>
    <w:p w:rsidR="00A52EA2" w:rsidRPr="00A52EA2" w:rsidRDefault="00A52EA2">
      <w:pPr>
        <w:rPr>
          <w:i/>
          <w:lang w:val="nl-NL"/>
        </w:rPr>
      </w:pPr>
    </w:p>
    <w:p w:rsidR="0003095F" w:rsidRPr="0003095F" w:rsidRDefault="00511E42" w:rsidP="007918DD">
      <w:pPr>
        <w:rPr>
          <w:b/>
          <w:lang w:val="nl-NL"/>
        </w:rPr>
      </w:pPr>
      <w:r>
        <w:rPr>
          <w:b/>
          <w:lang w:val="nl-NL"/>
        </w:rPr>
        <w:t xml:space="preserve">2. </w:t>
      </w:r>
      <w:r w:rsidR="0003095F" w:rsidRPr="0003095F">
        <w:rPr>
          <w:b/>
          <w:lang w:val="nl-NL"/>
        </w:rPr>
        <w:t>Parenteral</w:t>
      </w:r>
      <w:r>
        <w:rPr>
          <w:b/>
          <w:lang w:val="nl-NL"/>
        </w:rPr>
        <w:t>e toedieningsvormen</w:t>
      </w:r>
      <w:r w:rsidR="0003095F" w:rsidRPr="0003095F">
        <w:rPr>
          <w:b/>
          <w:lang w:val="nl-NL"/>
        </w:rPr>
        <w:t xml:space="preserve">: doseren </w:t>
      </w:r>
      <w:r w:rsidR="00374FCA">
        <w:rPr>
          <w:b/>
          <w:lang w:val="nl-NL"/>
        </w:rPr>
        <w:t xml:space="preserve">op </w:t>
      </w:r>
      <w:r w:rsidR="00813742">
        <w:rPr>
          <w:b/>
          <w:lang w:val="nl-NL"/>
        </w:rPr>
        <w:t>SOM</w:t>
      </w:r>
      <w:r w:rsidR="00374FCA">
        <w:rPr>
          <w:b/>
          <w:lang w:val="nl-NL"/>
        </w:rPr>
        <w:t xml:space="preserve"> in (milli)gram</w:t>
      </w:r>
    </w:p>
    <w:p w:rsidR="00374FCA" w:rsidRDefault="00374FCA" w:rsidP="007918DD">
      <w:pPr>
        <w:rPr>
          <w:lang w:val="nl-NL"/>
        </w:rPr>
      </w:pPr>
      <w:r>
        <w:rPr>
          <w:i/>
          <w:lang w:val="nl-NL"/>
        </w:rPr>
        <w:t>Voorbeelden:</w:t>
      </w:r>
    </w:p>
    <w:p w:rsidR="007918DD" w:rsidRDefault="007918DD" w:rsidP="007918DD">
      <w:pPr>
        <w:rPr>
          <w:lang w:val="nl-NL"/>
        </w:rPr>
      </w:pPr>
      <w:r>
        <w:rPr>
          <w:lang w:val="nl-NL"/>
        </w:rPr>
        <w:t>Imipenem 500 mg (+cilastatine 500 mg) injectiepoeder</w:t>
      </w:r>
    </w:p>
    <w:p w:rsidR="007918DD" w:rsidRDefault="007918DD">
      <w:pPr>
        <w:rPr>
          <w:lang w:val="nl-NL"/>
        </w:rPr>
      </w:pPr>
      <w:r>
        <w:rPr>
          <w:lang w:val="nl-NL"/>
        </w:rPr>
        <w:t>Amoxicilline 1000 mg (+ clav 200 mg) injectiepoeder</w:t>
      </w:r>
    </w:p>
    <w:p w:rsidR="007918DD" w:rsidRPr="00AB054B" w:rsidRDefault="005C357D">
      <w:pPr>
        <w:rPr>
          <w:lang w:val="nl-NL"/>
        </w:rPr>
      </w:pPr>
      <w:r w:rsidRPr="00AB054B">
        <w:rPr>
          <w:lang w:val="nl-NL"/>
        </w:rPr>
        <w:t xml:space="preserve">Piperacilline </w:t>
      </w:r>
      <w:r w:rsidR="00976CAA" w:rsidRPr="00AB054B">
        <w:rPr>
          <w:lang w:val="nl-NL"/>
        </w:rPr>
        <w:t>4</w:t>
      </w:r>
      <w:r w:rsidRPr="00AB054B">
        <w:rPr>
          <w:lang w:val="nl-NL"/>
        </w:rPr>
        <w:t xml:space="preserve">000 mg + tazobactam </w:t>
      </w:r>
      <w:r w:rsidR="00976CAA" w:rsidRPr="00AB054B">
        <w:rPr>
          <w:lang w:val="nl-NL"/>
        </w:rPr>
        <w:t>50</w:t>
      </w:r>
      <w:r w:rsidRPr="00AB054B">
        <w:rPr>
          <w:lang w:val="nl-NL"/>
        </w:rPr>
        <w:t>0 mg injectiepoeder</w:t>
      </w:r>
    </w:p>
    <w:p w:rsidR="00976CAA" w:rsidRPr="00511E42" w:rsidRDefault="00976CAA" w:rsidP="00976CAA">
      <w:pPr>
        <w:rPr>
          <w:lang w:val="es-ES_tradnl"/>
        </w:rPr>
      </w:pPr>
      <w:r w:rsidRPr="00AB054B">
        <w:rPr>
          <w:lang w:val="es-ES_tradnl"/>
        </w:rPr>
        <w:t>Bactrimel 96 mg/mL (80+16 mg/ml) ampul 5 mL</w:t>
      </w:r>
      <w:r w:rsidRPr="00511E42">
        <w:rPr>
          <w:lang w:val="es-ES_tradnl"/>
        </w:rPr>
        <w:t xml:space="preserve"> </w:t>
      </w:r>
    </w:p>
    <w:p w:rsidR="007918DD" w:rsidRDefault="007918DD">
      <w:pPr>
        <w:rPr>
          <w:lang w:val="es-ES_tradnl"/>
        </w:rPr>
      </w:pPr>
    </w:p>
    <w:p w:rsidR="00A52EA2" w:rsidRDefault="00A52EA2">
      <w:pPr>
        <w:rPr>
          <w:i/>
          <w:lang w:val="nl-NL"/>
        </w:rPr>
      </w:pPr>
      <w:r w:rsidRPr="00A52EA2">
        <w:rPr>
          <w:i/>
          <w:lang w:val="nl-NL"/>
        </w:rPr>
        <w:t>Uitgangspunt</w:t>
      </w:r>
      <w:r>
        <w:rPr>
          <w:i/>
          <w:lang w:val="nl-NL"/>
        </w:rPr>
        <w:t>en</w:t>
      </w:r>
      <w:r w:rsidRPr="00A52EA2">
        <w:rPr>
          <w:i/>
          <w:lang w:val="nl-NL"/>
        </w:rPr>
        <w:t xml:space="preserve">: </w:t>
      </w:r>
    </w:p>
    <w:p w:rsidR="00A52EA2" w:rsidRDefault="00A52EA2">
      <w:pPr>
        <w:rPr>
          <w:i/>
          <w:lang w:val="nl-NL"/>
        </w:rPr>
      </w:pPr>
      <w:r>
        <w:rPr>
          <w:i/>
          <w:lang w:val="nl-NL"/>
        </w:rPr>
        <w:t>*</w:t>
      </w:r>
      <w:proofErr w:type="gramStart"/>
      <w:r>
        <w:rPr>
          <w:i/>
          <w:lang w:val="nl-NL"/>
        </w:rPr>
        <w:t>medicatiebewakingssoftware</w:t>
      </w:r>
      <w:proofErr w:type="gramEnd"/>
      <w:r>
        <w:rPr>
          <w:i/>
          <w:lang w:val="nl-NL"/>
        </w:rPr>
        <w:t xml:space="preserve"> instellen op bewaking van totaal</w:t>
      </w:r>
    </w:p>
    <w:p w:rsidR="00A52EA2" w:rsidRDefault="00A52EA2">
      <w:pPr>
        <w:rPr>
          <w:i/>
          <w:lang w:val="nl-NL"/>
        </w:rPr>
      </w:pPr>
      <w:r>
        <w:rPr>
          <w:i/>
          <w:lang w:val="nl-NL"/>
        </w:rPr>
        <w:t>*</w:t>
      </w:r>
      <w:proofErr w:type="gramStart"/>
      <w:r>
        <w:rPr>
          <w:i/>
          <w:lang w:val="nl-NL"/>
        </w:rPr>
        <w:t>hernoemen</w:t>
      </w:r>
      <w:proofErr w:type="gramEnd"/>
      <w:r>
        <w:rPr>
          <w:i/>
          <w:lang w:val="nl-NL"/>
        </w:rPr>
        <w:t xml:space="preserve"> producten in HiX om intuïtief voorschrijven te faciliteren</w:t>
      </w:r>
    </w:p>
    <w:p w:rsidR="00A52EA2" w:rsidRDefault="00A52EA2">
      <w:pPr>
        <w:rPr>
          <w:i/>
          <w:lang w:val="nl-NL"/>
        </w:rPr>
      </w:pPr>
      <w:r>
        <w:rPr>
          <w:i/>
          <w:lang w:val="nl-NL"/>
        </w:rPr>
        <w:tab/>
        <w:t>Voorbeelden:</w:t>
      </w:r>
    </w:p>
    <w:p w:rsidR="00A52EA2" w:rsidRPr="000C0A33" w:rsidRDefault="00A52EA2" w:rsidP="00A52EA2">
      <w:pPr>
        <w:rPr>
          <w:lang w:val="nl-NL"/>
        </w:rPr>
      </w:pPr>
      <w:r w:rsidRPr="000C0A33">
        <w:rPr>
          <w:lang w:val="nl-NL"/>
        </w:rPr>
        <w:t xml:space="preserve">Imipenem 500 mg (+cilastatine 500 mg) </w:t>
      </w:r>
      <w:r w:rsidRPr="00A52EA2">
        <w:rPr>
          <w:lang w:val="nl-NL"/>
        </w:rPr>
        <w:sym w:font="Wingdings" w:char="F0E0"/>
      </w:r>
      <w:r w:rsidRPr="000C0A33">
        <w:rPr>
          <w:lang w:val="nl-NL"/>
        </w:rPr>
        <w:t xml:space="preserve"> Imipenem + cilastatine 1000 mg (500+500) </w:t>
      </w:r>
    </w:p>
    <w:p w:rsidR="00A52EA2" w:rsidRPr="00A52EA2" w:rsidRDefault="00A52EA2" w:rsidP="00A52EA2">
      <w:r w:rsidRPr="00A52EA2">
        <w:t xml:space="preserve">Amoxicilline 1000 mg (+ clav 200 mg) </w:t>
      </w:r>
      <w:r w:rsidRPr="00A52EA2">
        <w:rPr>
          <w:lang w:val="nl-NL"/>
        </w:rPr>
        <w:sym w:font="Wingdings" w:char="F0E0"/>
      </w:r>
      <w:r w:rsidRPr="00A52EA2">
        <w:t xml:space="preserve"> Amoxicill</w:t>
      </w:r>
      <w:r>
        <w:t>ine+clavulaanzr 1200 mg (1000+</w:t>
      </w:r>
      <w:r w:rsidRPr="00A52EA2">
        <w:t>200)</w:t>
      </w:r>
    </w:p>
    <w:p w:rsidR="00A52EA2" w:rsidRPr="00A52EA2" w:rsidRDefault="00A52EA2" w:rsidP="00A52EA2">
      <w:pPr>
        <w:rPr>
          <w:lang w:val="es-ES_tradnl"/>
        </w:rPr>
      </w:pPr>
      <w:r w:rsidRPr="00A52EA2">
        <w:rPr>
          <w:lang w:val="es-ES_tradnl"/>
        </w:rPr>
        <w:t xml:space="preserve">Piperacilline 4000 mg + tazobactam 500 mg </w:t>
      </w:r>
      <w:r w:rsidRPr="00A52EA2">
        <w:rPr>
          <w:lang w:val="nl-NL"/>
        </w:rPr>
        <w:sym w:font="Wingdings" w:char="F0E0"/>
      </w:r>
      <w:r w:rsidRPr="00A52EA2">
        <w:rPr>
          <w:lang w:val="es-ES_tradnl"/>
        </w:rPr>
        <w:t xml:space="preserve"> Piperacilline+tazobactam 4500 mg (400</w:t>
      </w:r>
      <w:r w:rsidR="00F14643">
        <w:rPr>
          <w:lang w:val="es-ES_tradnl"/>
        </w:rPr>
        <w:t>0</w:t>
      </w:r>
      <w:r w:rsidRPr="00A52EA2">
        <w:rPr>
          <w:lang w:val="es-ES_tradnl"/>
        </w:rPr>
        <w:t>+500)</w:t>
      </w:r>
    </w:p>
    <w:p w:rsidR="00A52EA2" w:rsidRPr="00A52EA2" w:rsidRDefault="00A52EA2" w:rsidP="00A52EA2">
      <w:pPr>
        <w:rPr>
          <w:lang w:val="nl-NL"/>
        </w:rPr>
      </w:pPr>
      <w:r w:rsidRPr="00A52EA2">
        <w:rPr>
          <w:lang w:val="nl-NL"/>
        </w:rPr>
        <w:t xml:space="preserve">Bactrimel 96 mg/mL (80+16 mg/ml) ampul 5 mL </w:t>
      </w:r>
      <w:r w:rsidRPr="00A52EA2">
        <w:rPr>
          <w:lang w:val="es-ES_tradnl"/>
        </w:rPr>
        <w:sym w:font="Wingdings" w:char="F0E0"/>
      </w:r>
      <w:r w:rsidRPr="00A52EA2">
        <w:rPr>
          <w:lang w:val="nl-NL"/>
        </w:rPr>
        <w:t>blijft gelijk</w:t>
      </w:r>
    </w:p>
    <w:p w:rsidR="00A52EA2" w:rsidRPr="00A52EA2" w:rsidRDefault="00A52EA2" w:rsidP="00A52EA2">
      <w:pPr>
        <w:rPr>
          <w:lang w:val="nl-NL"/>
        </w:rPr>
      </w:pPr>
      <w:r w:rsidRPr="00A52EA2">
        <w:rPr>
          <w:lang w:val="nl-NL"/>
        </w:rPr>
        <w:t xml:space="preserve">Sulfamethoxazol+trimethoprim 96 mg/mL (80+16 mg/ml) </w:t>
      </w:r>
      <w:r w:rsidRPr="00A52EA2">
        <w:rPr>
          <w:lang w:val="es-ES_tradnl"/>
        </w:rPr>
        <w:sym w:font="Wingdings" w:char="F0E0"/>
      </w:r>
      <w:r w:rsidRPr="00A52EA2">
        <w:rPr>
          <w:lang w:val="nl-NL"/>
        </w:rPr>
        <w:t>blijft gelijk</w:t>
      </w:r>
    </w:p>
    <w:p w:rsidR="00A52EA2" w:rsidRPr="00A52EA2" w:rsidRDefault="00A52EA2" w:rsidP="00A52EA2">
      <w:pPr>
        <w:rPr>
          <w:lang w:val="nl-NL"/>
        </w:rPr>
      </w:pPr>
    </w:p>
    <w:p w:rsidR="00A52EA2" w:rsidRPr="00A52EA2" w:rsidRDefault="00A52EA2">
      <w:pPr>
        <w:rPr>
          <w:lang w:val="nl-NL"/>
        </w:rPr>
      </w:pPr>
    </w:p>
    <w:p w:rsidR="001B10B9" w:rsidRPr="00A52EA2" w:rsidRDefault="001B10B9" w:rsidP="001B10B9">
      <w:pPr>
        <w:rPr>
          <w:lang w:val="nl-NL"/>
        </w:rPr>
      </w:pPr>
      <w:r w:rsidRPr="00A52EA2">
        <w:rPr>
          <w:lang w:val="nl-NL"/>
        </w:rPr>
        <w:tab/>
      </w:r>
    </w:p>
    <w:sectPr w:rsidR="001B10B9" w:rsidRPr="00A52EA2" w:rsidSect="000C0A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861" w:rsidRDefault="009D6861" w:rsidP="00A52EA2">
      <w:pPr>
        <w:spacing w:after="0" w:line="240" w:lineRule="auto"/>
      </w:pPr>
      <w:r>
        <w:separator/>
      </w:r>
    </w:p>
  </w:endnote>
  <w:endnote w:type="continuationSeparator" w:id="0">
    <w:p w:rsidR="009D6861" w:rsidRDefault="009D6861" w:rsidP="00A5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EA2" w:rsidRPr="00A52EA2" w:rsidRDefault="00A52EA2">
    <w:pPr>
      <w:pStyle w:val="Voettekst"/>
      <w:rPr>
        <w:lang w:val="nl-NL"/>
      </w:rPr>
    </w:pPr>
    <w:r>
      <w:rPr>
        <w:lang w:val="nl-NL"/>
      </w:rPr>
      <w:t>Versie 1.1, juni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861" w:rsidRDefault="009D6861" w:rsidP="00A52EA2">
      <w:pPr>
        <w:spacing w:after="0" w:line="240" w:lineRule="auto"/>
      </w:pPr>
      <w:r>
        <w:separator/>
      </w:r>
    </w:p>
  </w:footnote>
  <w:footnote w:type="continuationSeparator" w:id="0">
    <w:p w:rsidR="009D6861" w:rsidRDefault="009D6861" w:rsidP="00A52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60DF"/>
    <w:multiLevelType w:val="hybridMultilevel"/>
    <w:tmpl w:val="7B886E72"/>
    <w:lvl w:ilvl="0" w:tplc="7A545B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B9"/>
    <w:rsid w:val="0003095F"/>
    <w:rsid w:val="000C0A33"/>
    <w:rsid w:val="001B10B9"/>
    <w:rsid w:val="001F5C6F"/>
    <w:rsid w:val="0037388D"/>
    <w:rsid w:val="00374FCA"/>
    <w:rsid w:val="00397EEA"/>
    <w:rsid w:val="00424E3A"/>
    <w:rsid w:val="004A3610"/>
    <w:rsid w:val="00511E42"/>
    <w:rsid w:val="005C357D"/>
    <w:rsid w:val="006163F7"/>
    <w:rsid w:val="006360FE"/>
    <w:rsid w:val="006F6E94"/>
    <w:rsid w:val="007918DD"/>
    <w:rsid w:val="00813742"/>
    <w:rsid w:val="00920451"/>
    <w:rsid w:val="00976CAA"/>
    <w:rsid w:val="009C7FFB"/>
    <w:rsid w:val="009D6861"/>
    <w:rsid w:val="00A52EA2"/>
    <w:rsid w:val="00AB054B"/>
    <w:rsid w:val="00B36BDB"/>
    <w:rsid w:val="00BF2D64"/>
    <w:rsid w:val="00C91FC5"/>
    <w:rsid w:val="00EE4D37"/>
    <w:rsid w:val="00F14643"/>
    <w:rsid w:val="00F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10B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52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2EA2"/>
  </w:style>
  <w:style w:type="paragraph" w:styleId="Voettekst">
    <w:name w:val="footer"/>
    <w:basedOn w:val="Standaard"/>
    <w:link w:val="VoettekstChar"/>
    <w:uiPriority w:val="99"/>
    <w:unhideWhenUsed/>
    <w:rsid w:val="00A52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2EA2"/>
  </w:style>
  <w:style w:type="paragraph" w:styleId="Ballontekst">
    <w:name w:val="Balloon Text"/>
    <w:basedOn w:val="Standaard"/>
    <w:link w:val="BallontekstChar"/>
    <w:uiPriority w:val="99"/>
    <w:semiHidden/>
    <w:unhideWhenUsed/>
    <w:rsid w:val="00F1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4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10B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52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2EA2"/>
  </w:style>
  <w:style w:type="paragraph" w:styleId="Voettekst">
    <w:name w:val="footer"/>
    <w:basedOn w:val="Standaard"/>
    <w:link w:val="VoettekstChar"/>
    <w:uiPriority w:val="99"/>
    <w:unhideWhenUsed/>
    <w:rsid w:val="00A52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2EA2"/>
  </w:style>
  <w:style w:type="paragraph" w:styleId="Ballontekst">
    <w:name w:val="Balloon Text"/>
    <w:basedOn w:val="Standaard"/>
    <w:link w:val="BallontekstChar"/>
    <w:uiPriority w:val="99"/>
    <w:semiHidden/>
    <w:unhideWhenUsed/>
    <w:rsid w:val="00F1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4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422EB506</Template>
  <TotalTime>1</TotalTime>
  <Pages>4</Pages>
  <Words>687</Words>
  <Characters>3782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M.P.H. van den Broek</dc:creator>
  <cp:lastModifiedBy>Bollen, C.W.</cp:lastModifiedBy>
  <cp:revision>2</cp:revision>
  <cp:lastPrinted>2017-06-15T12:31:00Z</cp:lastPrinted>
  <dcterms:created xsi:type="dcterms:W3CDTF">2017-09-07T16:00:00Z</dcterms:created>
  <dcterms:modified xsi:type="dcterms:W3CDTF">2017-09-07T16:00:00Z</dcterms:modified>
</cp:coreProperties>
</file>